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E6B" w:rsidRPr="001776B6" w:rsidRDefault="00E13E6B" w:rsidP="00531D1E">
      <w:pPr>
        <w:ind w:left="2835" w:right="1843" w:hanging="992"/>
        <w:jc w:val="both"/>
        <w:rPr>
          <w:rFonts w:ascii="Tahoma" w:hAnsi="Tahoma" w:cs="Tahoma"/>
          <w:i/>
          <w:sz w:val="20"/>
          <w:szCs w:val="20"/>
        </w:rPr>
      </w:pPr>
      <w:r w:rsidRPr="001776B6">
        <w:rPr>
          <w:rFonts w:ascii="Tahoma" w:hAnsi="Tahoma" w:cs="Tahoma"/>
          <w:b/>
          <w:i/>
          <w:sz w:val="20"/>
          <w:szCs w:val="20"/>
        </w:rPr>
        <w:t xml:space="preserve">Sumilla: </w:t>
      </w:r>
      <w:r w:rsidR="00635F2E" w:rsidRPr="00FF6B17">
        <w:rPr>
          <w:rFonts w:ascii="Tahoma" w:hAnsi="Tahoma" w:cs="Tahoma"/>
          <w:b/>
          <w:i/>
          <w:sz w:val="20"/>
          <w:szCs w:val="20"/>
        </w:rPr>
        <w:t>“</w:t>
      </w:r>
      <w:r w:rsidR="00FF6B17" w:rsidRPr="00FF6B17">
        <w:rPr>
          <w:rFonts w:ascii="Tahoma" w:hAnsi="Tahoma" w:cs="Tahoma"/>
          <w:i/>
          <w:sz w:val="20"/>
          <w:szCs w:val="20"/>
        </w:rPr>
        <w:t>Al respecto, la infracción tipificada en el literal b) del numeral 51.1 del artículo 51 de la Ley en concordancia con el literal b) del numeral 1) del artículo 237 del Reglamento establece como supuesto de hecho indispensable para su configuración, la resolución del contrato, orden de compra o de servicios, según corresponda, por causal atribuible a la Contratista.</w:t>
      </w:r>
      <w:r w:rsidR="00635F2E" w:rsidRPr="00FF6B17">
        <w:rPr>
          <w:rFonts w:ascii="Tahoma" w:hAnsi="Tahoma" w:cs="Tahoma"/>
          <w:i/>
          <w:sz w:val="20"/>
          <w:szCs w:val="20"/>
        </w:rPr>
        <w:t>”.</w:t>
      </w:r>
    </w:p>
    <w:p w:rsidR="00E13E6B" w:rsidRPr="001776B6" w:rsidRDefault="00E13E6B" w:rsidP="00E13E6B">
      <w:pPr>
        <w:ind w:left="2268" w:right="1843"/>
        <w:jc w:val="both"/>
        <w:rPr>
          <w:rFonts w:ascii="Tahoma" w:hAnsi="Tahoma" w:cs="Tahoma"/>
          <w:b/>
          <w:i/>
          <w:sz w:val="20"/>
          <w:szCs w:val="20"/>
          <w:highlight w:val="yellow"/>
        </w:rPr>
      </w:pPr>
    </w:p>
    <w:p w:rsidR="00E13E6B" w:rsidRPr="001776B6" w:rsidRDefault="00E13E6B" w:rsidP="00E13E6B">
      <w:pPr>
        <w:pStyle w:val="Textoindependiente3"/>
        <w:ind w:left="4956" w:firstLine="708"/>
        <w:jc w:val="both"/>
        <w:rPr>
          <w:rFonts w:ascii="Tahoma" w:hAnsi="Tahoma" w:cs="Tahoma"/>
        </w:rPr>
      </w:pPr>
      <w:r w:rsidRPr="001776B6">
        <w:rPr>
          <w:rFonts w:ascii="Tahoma" w:hAnsi="Tahoma" w:cs="Tahoma"/>
        </w:rPr>
        <w:t xml:space="preserve">Lima, </w:t>
      </w:r>
      <w:r w:rsidR="0053204C">
        <w:rPr>
          <w:rFonts w:ascii="Tahoma" w:hAnsi="Tahoma" w:cs="Tahoma"/>
        </w:rPr>
        <w:t>24 de Febrero de 2011</w:t>
      </w:r>
    </w:p>
    <w:p w:rsidR="00E13E6B" w:rsidRPr="001776B6" w:rsidRDefault="00E13E6B" w:rsidP="00E13E6B">
      <w:pPr>
        <w:pStyle w:val="Textoindependiente3"/>
        <w:jc w:val="both"/>
        <w:rPr>
          <w:rFonts w:ascii="Tahoma" w:hAnsi="Tahoma" w:cs="Tahoma"/>
          <w:b w:val="0"/>
          <w:lang w:val="es-ES"/>
        </w:rPr>
      </w:pPr>
    </w:p>
    <w:p w:rsidR="00E13E6B" w:rsidRPr="001776B6" w:rsidRDefault="00E13E6B" w:rsidP="00E13E6B">
      <w:pPr>
        <w:ind w:firstLine="708"/>
        <w:jc w:val="both"/>
        <w:rPr>
          <w:rFonts w:ascii="Tahoma" w:hAnsi="Tahoma" w:cs="Tahoma"/>
          <w:sz w:val="20"/>
          <w:szCs w:val="20"/>
        </w:rPr>
      </w:pPr>
      <w:r w:rsidRPr="001776B6">
        <w:rPr>
          <w:rFonts w:ascii="Tahoma" w:hAnsi="Tahoma" w:cs="Tahoma"/>
          <w:b/>
          <w:sz w:val="20"/>
          <w:szCs w:val="20"/>
        </w:rPr>
        <w:t>VISTO,</w:t>
      </w:r>
      <w:r w:rsidRPr="001776B6">
        <w:rPr>
          <w:rFonts w:ascii="Tahoma" w:hAnsi="Tahoma" w:cs="Tahoma"/>
          <w:sz w:val="20"/>
          <w:szCs w:val="20"/>
        </w:rPr>
        <w:t xml:space="preserve"> en sesión de fecha </w:t>
      </w:r>
      <w:r w:rsidR="001776B6">
        <w:rPr>
          <w:rFonts w:ascii="Tahoma" w:hAnsi="Tahoma" w:cs="Tahoma"/>
          <w:sz w:val="20"/>
          <w:szCs w:val="20"/>
        </w:rPr>
        <w:t>24 de febrero</w:t>
      </w:r>
      <w:r w:rsidR="00531D1E" w:rsidRPr="001776B6">
        <w:rPr>
          <w:rFonts w:ascii="Tahoma" w:hAnsi="Tahoma" w:cs="Tahoma"/>
          <w:sz w:val="20"/>
          <w:szCs w:val="20"/>
        </w:rPr>
        <w:t xml:space="preserve"> de 2011</w:t>
      </w:r>
      <w:r w:rsidRPr="001776B6">
        <w:rPr>
          <w:rFonts w:ascii="Tahoma" w:hAnsi="Tahoma" w:cs="Tahoma"/>
          <w:sz w:val="20"/>
          <w:szCs w:val="20"/>
        </w:rPr>
        <w:t xml:space="preserve"> de la </w:t>
      </w:r>
      <w:r w:rsidR="001776B6">
        <w:rPr>
          <w:rFonts w:ascii="Tahoma" w:hAnsi="Tahoma" w:cs="Tahoma"/>
          <w:sz w:val="20"/>
          <w:szCs w:val="20"/>
        </w:rPr>
        <w:t>Primera</w:t>
      </w:r>
      <w:r w:rsidRPr="001776B6">
        <w:rPr>
          <w:rFonts w:ascii="Tahoma" w:hAnsi="Tahoma" w:cs="Tahoma"/>
          <w:sz w:val="20"/>
          <w:szCs w:val="20"/>
        </w:rPr>
        <w:t xml:space="preserve"> Sala del Tribunal de Contrataciones del Estado el Expediente № </w:t>
      </w:r>
      <w:r w:rsidR="001776B6">
        <w:rPr>
          <w:rFonts w:ascii="Tahoma" w:hAnsi="Tahoma" w:cs="Tahoma"/>
          <w:sz w:val="20"/>
          <w:szCs w:val="20"/>
        </w:rPr>
        <w:t>1253</w:t>
      </w:r>
      <w:r w:rsidR="00531D1E" w:rsidRPr="001776B6">
        <w:rPr>
          <w:rFonts w:ascii="Tahoma" w:hAnsi="Tahoma" w:cs="Tahoma"/>
          <w:sz w:val="20"/>
          <w:szCs w:val="20"/>
        </w:rPr>
        <w:t>/20</w:t>
      </w:r>
      <w:r w:rsidR="00222218" w:rsidRPr="001776B6">
        <w:rPr>
          <w:rFonts w:ascii="Tahoma" w:hAnsi="Tahoma" w:cs="Tahoma"/>
          <w:sz w:val="20"/>
          <w:szCs w:val="20"/>
        </w:rPr>
        <w:t>10</w:t>
      </w:r>
      <w:r w:rsidRPr="001776B6">
        <w:rPr>
          <w:rFonts w:ascii="Tahoma" w:hAnsi="Tahoma" w:cs="Tahoma"/>
          <w:sz w:val="20"/>
          <w:szCs w:val="20"/>
        </w:rPr>
        <w:t>.TC, sobre procedimiento administrativo sancionador contra</w:t>
      </w:r>
      <w:r w:rsidR="00140241" w:rsidRPr="001776B6">
        <w:rPr>
          <w:rFonts w:ascii="Tahoma" w:hAnsi="Tahoma" w:cs="Tahoma"/>
          <w:sz w:val="20"/>
          <w:szCs w:val="20"/>
        </w:rPr>
        <w:t xml:space="preserve"> </w:t>
      </w:r>
      <w:r w:rsidR="001776B6" w:rsidRPr="001776B6">
        <w:rPr>
          <w:rFonts w:ascii="Tahoma" w:hAnsi="Tahoma" w:cs="Tahoma"/>
          <w:sz w:val="20"/>
          <w:szCs w:val="20"/>
        </w:rPr>
        <w:t xml:space="preserve">señora LIA CHIRINOS VDA DE QUEREVALU </w:t>
      </w:r>
      <w:r w:rsidRPr="001776B6">
        <w:rPr>
          <w:rFonts w:ascii="Tahoma" w:hAnsi="Tahoma" w:cs="Tahoma"/>
          <w:sz w:val="20"/>
          <w:szCs w:val="20"/>
        </w:rPr>
        <w:t xml:space="preserve">por supuesta responsabilidad en la resolución </w:t>
      </w:r>
      <w:r w:rsidR="00E964AA" w:rsidRPr="001776B6">
        <w:rPr>
          <w:rFonts w:ascii="Tahoma" w:hAnsi="Tahoma" w:cs="Tahoma"/>
          <w:sz w:val="20"/>
          <w:szCs w:val="20"/>
        </w:rPr>
        <w:t xml:space="preserve">de </w:t>
      </w:r>
      <w:r w:rsidR="006F0656" w:rsidRPr="001776B6">
        <w:rPr>
          <w:rFonts w:ascii="Tahoma" w:hAnsi="Tahoma" w:cs="Tahoma"/>
          <w:sz w:val="20"/>
          <w:szCs w:val="20"/>
        </w:rPr>
        <w:t>la</w:t>
      </w:r>
      <w:r w:rsidR="00920048" w:rsidRPr="001776B6">
        <w:rPr>
          <w:rFonts w:ascii="Tahoma" w:hAnsi="Tahoma" w:cs="Tahoma"/>
          <w:sz w:val="20"/>
          <w:szCs w:val="20"/>
        </w:rPr>
        <w:t xml:space="preserve"> </w:t>
      </w:r>
      <w:r w:rsidR="001776B6" w:rsidRPr="001776B6">
        <w:rPr>
          <w:rFonts w:ascii="Tahoma" w:hAnsi="Tahoma" w:cs="Tahoma"/>
          <w:sz w:val="20"/>
          <w:szCs w:val="20"/>
        </w:rPr>
        <w:t>Orden de Trabajo de Terceros № 83071</w:t>
      </w:r>
      <w:r w:rsidR="00822C2F" w:rsidRPr="001776B6">
        <w:rPr>
          <w:rFonts w:ascii="Tahoma" w:hAnsi="Tahoma" w:cs="Tahoma"/>
          <w:sz w:val="20"/>
          <w:szCs w:val="20"/>
        </w:rPr>
        <w:t xml:space="preserve"> por causa atribuible a </w:t>
      </w:r>
      <w:r w:rsidR="001E448B" w:rsidRPr="001776B6">
        <w:rPr>
          <w:rFonts w:ascii="Tahoma" w:hAnsi="Tahoma" w:cs="Tahoma"/>
          <w:sz w:val="20"/>
          <w:szCs w:val="20"/>
        </w:rPr>
        <w:t>ella</w:t>
      </w:r>
      <w:r w:rsidR="00466DC8">
        <w:rPr>
          <w:rFonts w:ascii="Tahoma" w:hAnsi="Tahoma" w:cs="Tahoma"/>
          <w:sz w:val="20"/>
          <w:szCs w:val="20"/>
        </w:rPr>
        <w:t>, derivada</w:t>
      </w:r>
      <w:r w:rsidR="000B0A8A" w:rsidRPr="001776B6">
        <w:rPr>
          <w:rFonts w:ascii="Tahoma" w:hAnsi="Tahoma" w:cs="Tahoma"/>
          <w:sz w:val="20"/>
          <w:szCs w:val="20"/>
        </w:rPr>
        <w:t xml:space="preserve"> de la</w:t>
      </w:r>
      <w:r w:rsidRPr="001776B6">
        <w:rPr>
          <w:rFonts w:ascii="Tahoma" w:hAnsi="Tahoma" w:cs="Tahoma"/>
          <w:sz w:val="20"/>
          <w:szCs w:val="20"/>
        </w:rPr>
        <w:t xml:space="preserve"> </w:t>
      </w:r>
      <w:r w:rsidR="00466DC8" w:rsidRPr="001776B6">
        <w:rPr>
          <w:rFonts w:ascii="Tahoma" w:hAnsi="Tahoma" w:cs="Tahoma"/>
          <w:sz w:val="20"/>
          <w:szCs w:val="20"/>
        </w:rPr>
        <w:t>Competencia Menor № 0300-2009-OTL/PETROPERÚ</w:t>
      </w:r>
      <w:r w:rsidRPr="001776B6">
        <w:rPr>
          <w:rFonts w:ascii="Tahoma" w:hAnsi="Tahoma" w:cs="Tahoma"/>
          <w:sz w:val="20"/>
          <w:szCs w:val="20"/>
        </w:rPr>
        <w:t>, convocado por</w:t>
      </w:r>
      <w:r w:rsidR="004F2CC5" w:rsidRPr="001776B6">
        <w:rPr>
          <w:rFonts w:ascii="Tahoma" w:hAnsi="Tahoma" w:cs="Tahoma"/>
          <w:sz w:val="20"/>
          <w:szCs w:val="20"/>
        </w:rPr>
        <w:t xml:space="preserve"> </w:t>
      </w:r>
      <w:r w:rsidR="009C2CF7" w:rsidRPr="001776B6">
        <w:rPr>
          <w:rFonts w:ascii="Tahoma" w:hAnsi="Tahoma" w:cs="Tahoma"/>
          <w:sz w:val="20"/>
          <w:szCs w:val="20"/>
        </w:rPr>
        <w:t>Petróleos del Perú - PETROPERÚ S.A.</w:t>
      </w:r>
      <w:r w:rsidRPr="001776B6">
        <w:rPr>
          <w:rFonts w:ascii="Tahoma" w:hAnsi="Tahoma" w:cs="Tahoma"/>
          <w:sz w:val="20"/>
          <w:szCs w:val="20"/>
        </w:rPr>
        <w:t>, para</w:t>
      </w:r>
      <w:r w:rsidR="00903A92" w:rsidRPr="001776B6">
        <w:rPr>
          <w:rFonts w:ascii="Tahoma" w:hAnsi="Tahoma" w:cs="Tahoma"/>
          <w:sz w:val="20"/>
          <w:szCs w:val="20"/>
        </w:rPr>
        <w:t xml:space="preserve"> </w:t>
      </w:r>
      <w:r w:rsidR="00AD4AB5" w:rsidRPr="001776B6">
        <w:rPr>
          <w:rFonts w:ascii="Tahoma" w:hAnsi="Tahoma" w:cs="Tahoma"/>
          <w:sz w:val="20"/>
          <w:szCs w:val="20"/>
        </w:rPr>
        <w:t>el “Servicio de Mantenimiento y Reparación de Vivienda H-5B Condominio Punta Arenas”</w:t>
      </w:r>
      <w:r w:rsidRPr="001776B6">
        <w:rPr>
          <w:rFonts w:ascii="Tahoma" w:hAnsi="Tahoma" w:cs="Tahoma"/>
          <w:sz w:val="20"/>
          <w:szCs w:val="20"/>
        </w:rPr>
        <w:t xml:space="preserve">, y; atendiendo a los siguientes:  </w:t>
      </w:r>
    </w:p>
    <w:p w:rsidR="00E13E6B" w:rsidRPr="001776B6" w:rsidRDefault="00E13E6B" w:rsidP="00E13E6B">
      <w:pPr>
        <w:ind w:right="45"/>
        <w:jc w:val="both"/>
        <w:rPr>
          <w:rFonts w:ascii="Tahoma" w:hAnsi="Tahoma" w:cs="Tahoma"/>
          <w:b/>
          <w:sz w:val="20"/>
          <w:szCs w:val="20"/>
        </w:rPr>
      </w:pPr>
    </w:p>
    <w:p w:rsidR="00E13E6B" w:rsidRPr="001776B6" w:rsidRDefault="00E13E6B" w:rsidP="00E13E6B">
      <w:pPr>
        <w:ind w:firstLine="567"/>
        <w:jc w:val="both"/>
        <w:rPr>
          <w:rFonts w:ascii="Tahoma" w:hAnsi="Tahoma" w:cs="Tahoma"/>
          <w:b/>
          <w:sz w:val="20"/>
          <w:szCs w:val="20"/>
        </w:rPr>
      </w:pPr>
      <w:r w:rsidRPr="001776B6">
        <w:rPr>
          <w:rFonts w:ascii="Tahoma" w:hAnsi="Tahoma" w:cs="Tahoma"/>
          <w:b/>
          <w:sz w:val="20"/>
          <w:szCs w:val="20"/>
        </w:rPr>
        <w:t>ANTECEDENTES:</w:t>
      </w:r>
    </w:p>
    <w:p w:rsidR="00E13E6B" w:rsidRPr="001776B6" w:rsidRDefault="00E13E6B" w:rsidP="00E13E6B">
      <w:pPr>
        <w:ind w:left="426"/>
        <w:jc w:val="both"/>
        <w:rPr>
          <w:rFonts w:ascii="Tahoma" w:hAnsi="Tahoma" w:cs="Tahoma"/>
          <w:b/>
          <w:bCs/>
          <w:shadow/>
          <w:sz w:val="20"/>
          <w:szCs w:val="20"/>
        </w:rPr>
      </w:pPr>
    </w:p>
    <w:p w:rsidR="001776B6" w:rsidRPr="001776B6" w:rsidRDefault="001776B6" w:rsidP="001776B6">
      <w:pPr>
        <w:numPr>
          <w:ilvl w:val="0"/>
          <w:numId w:val="19"/>
        </w:numPr>
        <w:ind w:left="567" w:hanging="567"/>
        <w:jc w:val="both"/>
        <w:rPr>
          <w:rFonts w:ascii="Tahoma" w:hAnsi="Tahoma" w:cs="Tahoma"/>
          <w:sz w:val="20"/>
          <w:szCs w:val="20"/>
        </w:rPr>
      </w:pPr>
      <w:r w:rsidRPr="001776B6">
        <w:rPr>
          <w:rFonts w:ascii="Tahoma" w:hAnsi="Tahoma" w:cs="Tahoma"/>
          <w:sz w:val="20"/>
          <w:szCs w:val="20"/>
        </w:rPr>
        <w:t>El 16 de noviembre de 2009, Petróleos del Perú - PETROPERÚ S.A., en adelante la Entidad, convocó la Competencia Menor № 0300-2009-OTL/PETROPERÚ, primera convocatoria, para el “Servicio de Mantenimiento y Reparación de Vivienda H-5B Condominio Punta Arenas”, bajo el sistema de suma alzada, por un valor referencial de S/. 17 672.86 (Diecisiete mil seiscientos setenta y dos con 86/100 nuevos soles), incluido los impuesto de ley.</w:t>
      </w:r>
    </w:p>
    <w:p w:rsidR="001776B6" w:rsidRPr="001776B6" w:rsidRDefault="001776B6" w:rsidP="001776B6">
      <w:pPr>
        <w:ind w:left="567"/>
        <w:rPr>
          <w:rFonts w:ascii="Tahoma" w:hAnsi="Tahoma" w:cs="Tahoma"/>
          <w:sz w:val="20"/>
          <w:szCs w:val="20"/>
        </w:rPr>
      </w:pPr>
    </w:p>
    <w:p w:rsidR="001776B6" w:rsidRPr="001776B6" w:rsidRDefault="001776B6" w:rsidP="001776B6">
      <w:pPr>
        <w:numPr>
          <w:ilvl w:val="0"/>
          <w:numId w:val="19"/>
        </w:numPr>
        <w:ind w:left="567" w:hanging="567"/>
        <w:jc w:val="both"/>
        <w:rPr>
          <w:rFonts w:ascii="Tahoma" w:hAnsi="Tahoma" w:cs="Tahoma"/>
          <w:sz w:val="20"/>
          <w:szCs w:val="20"/>
        </w:rPr>
      </w:pPr>
      <w:r w:rsidRPr="001776B6">
        <w:rPr>
          <w:rFonts w:ascii="Tahoma" w:hAnsi="Tahoma" w:cs="Tahoma"/>
          <w:sz w:val="20"/>
          <w:szCs w:val="20"/>
        </w:rPr>
        <w:t>Como resultado del proceso de selección, el 25 de noviembre de 2009, se otorgó la Buena Pro a la señora LIA CHIRINOS VDA DE QUEREVALU, por su oferta económica ascendente a S/. 13 310.66 nuevos soles.</w:t>
      </w:r>
    </w:p>
    <w:p w:rsidR="001776B6" w:rsidRPr="001776B6" w:rsidRDefault="001776B6" w:rsidP="001776B6">
      <w:pPr>
        <w:pStyle w:val="Prrafodelista"/>
        <w:rPr>
          <w:rFonts w:ascii="Tahoma" w:hAnsi="Tahoma" w:cs="Tahoma"/>
        </w:rPr>
      </w:pPr>
    </w:p>
    <w:p w:rsidR="001776B6" w:rsidRPr="001776B6" w:rsidRDefault="001776B6" w:rsidP="001776B6">
      <w:pPr>
        <w:numPr>
          <w:ilvl w:val="0"/>
          <w:numId w:val="19"/>
        </w:numPr>
        <w:ind w:left="567" w:hanging="567"/>
        <w:jc w:val="both"/>
        <w:rPr>
          <w:rFonts w:ascii="Tahoma" w:hAnsi="Tahoma" w:cs="Tahoma"/>
          <w:sz w:val="20"/>
          <w:szCs w:val="20"/>
        </w:rPr>
      </w:pPr>
      <w:r w:rsidRPr="001776B6">
        <w:rPr>
          <w:rFonts w:ascii="Tahoma" w:hAnsi="Tahoma" w:cs="Tahoma"/>
          <w:sz w:val="20"/>
          <w:szCs w:val="20"/>
        </w:rPr>
        <w:t>El 30 de noviembre de 2009, la Entidad remitió a favor de la señora LIA CHIRINOS VDA DE QUEREVALU, en adelante la Contratista, la Orden de Trabajo de Terceros № 83071, para el servicio de mantenimiento y reparación de vivienda H-5B Condominio Punta Arenas, por un monto ascendente a  S/. 13 310.66, y cuyo plazo de ejecución del servicio era de treinta (30) días calendario, a tenor de lo estipulado en la referida orden de trabajo.</w:t>
      </w:r>
    </w:p>
    <w:p w:rsidR="001776B6" w:rsidRPr="001776B6" w:rsidRDefault="001776B6" w:rsidP="001776B6">
      <w:pPr>
        <w:pStyle w:val="Prrafodelista"/>
        <w:rPr>
          <w:rFonts w:ascii="Tahoma" w:hAnsi="Tahoma" w:cs="Tahoma"/>
        </w:rPr>
      </w:pPr>
    </w:p>
    <w:p w:rsidR="001776B6" w:rsidRPr="001776B6" w:rsidRDefault="001776B6" w:rsidP="001776B6">
      <w:pPr>
        <w:numPr>
          <w:ilvl w:val="0"/>
          <w:numId w:val="19"/>
        </w:numPr>
        <w:ind w:left="567" w:hanging="567"/>
        <w:jc w:val="both"/>
        <w:rPr>
          <w:rFonts w:ascii="Tahoma" w:hAnsi="Tahoma" w:cs="Tahoma"/>
          <w:sz w:val="20"/>
          <w:szCs w:val="20"/>
        </w:rPr>
      </w:pPr>
      <w:r w:rsidRPr="001776B6">
        <w:rPr>
          <w:rFonts w:ascii="Tahoma" w:hAnsi="Tahoma" w:cs="Tahoma"/>
          <w:sz w:val="20"/>
          <w:szCs w:val="20"/>
        </w:rPr>
        <w:t>A través de la Carta № TL-USGE-055-2010 de fecha 28 de enero de 2010, diligenciada notarialmente el 29 del mismo mes y año, la Entidad otorgó a la Contratista el plazo de dos (2) días calendario a fin de que cumpla con sus obligaciones contractuales, bajo apercibimiento de resolver el Orden de Trabajo de Terceros № 83071.</w:t>
      </w:r>
    </w:p>
    <w:p w:rsidR="001776B6" w:rsidRPr="001776B6" w:rsidRDefault="001776B6" w:rsidP="001776B6">
      <w:pPr>
        <w:pStyle w:val="Prrafodelista"/>
        <w:rPr>
          <w:rFonts w:ascii="Tahoma" w:hAnsi="Tahoma" w:cs="Tahoma"/>
        </w:rPr>
      </w:pPr>
    </w:p>
    <w:p w:rsidR="001776B6" w:rsidRPr="001776B6" w:rsidRDefault="001776B6" w:rsidP="001776B6">
      <w:pPr>
        <w:numPr>
          <w:ilvl w:val="0"/>
          <w:numId w:val="19"/>
        </w:numPr>
        <w:ind w:left="567" w:hanging="567"/>
        <w:jc w:val="both"/>
        <w:rPr>
          <w:rFonts w:ascii="Tahoma" w:hAnsi="Tahoma" w:cs="Tahoma"/>
          <w:sz w:val="20"/>
          <w:szCs w:val="20"/>
        </w:rPr>
      </w:pPr>
      <w:r w:rsidRPr="001776B6">
        <w:rPr>
          <w:rFonts w:ascii="Tahoma" w:hAnsi="Tahoma" w:cs="Tahoma"/>
          <w:sz w:val="20"/>
          <w:szCs w:val="20"/>
        </w:rPr>
        <w:t>Con la Carta № TL-USGE-089-2010 de fecha 10 de febrero de 2010, diligenciada notarialmente el mismo día, mes y año, la Entidad comunicó a la Contratista la resolución del vínculo contractual, por causal atribuible a su parte.</w:t>
      </w:r>
    </w:p>
    <w:p w:rsidR="001776B6" w:rsidRPr="001776B6" w:rsidRDefault="001776B6" w:rsidP="001776B6">
      <w:pPr>
        <w:pStyle w:val="Prrafodelista"/>
        <w:rPr>
          <w:rFonts w:ascii="Tahoma" w:hAnsi="Tahoma" w:cs="Tahoma"/>
        </w:rPr>
      </w:pPr>
    </w:p>
    <w:p w:rsidR="001776B6" w:rsidRPr="001776B6" w:rsidRDefault="001776B6" w:rsidP="001776B6">
      <w:pPr>
        <w:numPr>
          <w:ilvl w:val="0"/>
          <w:numId w:val="19"/>
        </w:numPr>
        <w:ind w:left="567" w:hanging="567"/>
        <w:jc w:val="both"/>
        <w:rPr>
          <w:rFonts w:ascii="Tahoma" w:hAnsi="Tahoma" w:cs="Tahoma"/>
          <w:sz w:val="20"/>
          <w:szCs w:val="20"/>
        </w:rPr>
      </w:pPr>
      <w:r w:rsidRPr="001776B6">
        <w:rPr>
          <w:rFonts w:ascii="Tahoma" w:hAnsi="Tahoma" w:cs="Tahoma"/>
          <w:sz w:val="20"/>
          <w:szCs w:val="20"/>
        </w:rPr>
        <w:t>Mediante Carta № TL-USGE-117-2010 de fecha 24 de febrero de 2010, notificada vía conducto notarial el 26 del mismo mes y año, la Entidad comunicó a la Contratista que a la fecha no había cumplido con sus obligaciones contractuales, por lo que confirmó la decisión de resolver el contrato, la misma que fuera comunicada a través de la Carta № TL-USGE-089-2010.</w:t>
      </w:r>
    </w:p>
    <w:p w:rsidR="001776B6" w:rsidRPr="001776B6" w:rsidRDefault="001776B6" w:rsidP="001776B6">
      <w:pPr>
        <w:pStyle w:val="Prrafodelista"/>
        <w:rPr>
          <w:rFonts w:ascii="Tahoma" w:hAnsi="Tahoma" w:cs="Tahoma"/>
        </w:rPr>
      </w:pPr>
    </w:p>
    <w:p w:rsidR="001776B6" w:rsidRPr="001776B6" w:rsidRDefault="001776B6" w:rsidP="001776B6">
      <w:pPr>
        <w:numPr>
          <w:ilvl w:val="0"/>
          <w:numId w:val="19"/>
        </w:numPr>
        <w:ind w:left="567" w:hanging="567"/>
        <w:jc w:val="both"/>
        <w:rPr>
          <w:rFonts w:ascii="Tahoma" w:hAnsi="Tahoma" w:cs="Tahoma"/>
          <w:sz w:val="20"/>
          <w:szCs w:val="20"/>
        </w:rPr>
      </w:pPr>
      <w:r w:rsidRPr="001776B6">
        <w:rPr>
          <w:rFonts w:ascii="Tahoma" w:hAnsi="Tahoma" w:cs="Tahoma"/>
          <w:sz w:val="20"/>
          <w:szCs w:val="20"/>
        </w:rPr>
        <w:t>Con escrito Carta № TL-SPAD-ULOG-CO-085-2010 presentado el 15 de septiembre de 2010, la Entidad puso en conocimiento del Tribunal de Contrataciones del Estado, en adelante el Tribunal, la supuesta responsabilidad de la Contratista en la resolución de la Orden de Trabajo de Terceros № 83071, por causal atribuible a su parte, derivado del acotado proceso de selección, pese a haber sido requerida de acuerdo con la legislación vigente. Para tal efecto, adjuntó el Informe Legal № 021-2010 de fecha 09 de julio de 2010, mediante el cual indicó que a la fecha no existe proceso arbitral u otro mecanismo que se haya iniciado.</w:t>
      </w:r>
    </w:p>
    <w:p w:rsidR="001776B6" w:rsidRPr="001776B6" w:rsidRDefault="001776B6" w:rsidP="001776B6">
      <w:pPr>
        <w:pStyle w:val="Prrafodelista"/>
        <w:rPr>
          <w:rFonts w:ascii="Tahoma" w:hAnsi="Tahoma" w:cs="Tahoma"/>
        </w:rPr>
      </w:pPr>
    </w:p>
    <w:p w:rsidR="001776B6" w:rsidRPr="001776B6" w:rsidRDefault="001776B6" w:rsidP="001776B6">
      <w:pPr>
        <w:numPr>
          <w:ilvl w:val="0"/>
          <w:numId w:val="19"/>
        </w:numPr>
        <w:ind w:left="567" w:hanging="567"/>
        <w:jc w:val="both"/>
        <w:rPr>
          <w:rFonts w:ascii="Tahoma" w:hAnsi="Tahoma" w:cs="Tahoma"/>
          <w:sz w:val="20"/>
          <w:szCs w:val="20"/>
        </w:rPr>
      </w:pPr>
      <w:r w:rsidRPr="001776B6">
        <w:rPr>
          <w:rFonts w:ascii="Tahoma" w:hAnsi="Tahoma" w:cs="Tahoma"/>
          <w:sz w:val="20"/>
          <w:szCs w:val="20"/>
        </w:rPr>
        <w:t>Mediante decreto de fecha 20 de septiembre de 2010, notificado el 31 de noviembre del mismo año, previamente al inicio del procedimiento administrativo sancionador, el Tribunal requirió a la Entidad que remitiera, entre otros, las cartas notariales, debidamente recepcionadas y/o diligenciadas, mediante las cuales se requirió el cumplimiento de sus obligaciones al contratista y se le comunicó la resolución del contrato.</w:t>
      </w:r>
    </w:p>
    <w:p w:rsidR="001776B6" w:rsidRPr="001776B6" w:rsidRDefault="001776B6" w:rsidP="001776B6">
      <w:pPr>
        <w:pStyle w:val="Prrafodelista"/>
        <w:rPr>
          <w:rFonts w:ascii="Tahoma" w:hAnsi="Tahoma" w:cs="Tahoma"/>
        </w:rPr>
      </w:pPr>
    </w:p>
    <w:p w:rsidR="001776B6" w:rsidRPr="001776B6" w:rsidRDefault="001776B6" w:rsidP="001776B6">
      <w:pPr>
        <w:numPr>
          <w:ilvl w:val="0"/>
          <w:numId w:val="19"/>
        </w:numPr>
        <w:ind w:left="567" w:hanging="567"/>
        <w:jc w:val="both"/>
        <w:rPr>
          <w:rFonts w:ascii="Tahoma" w:hAnsi="Tahoma" w:cs="Tahoma"/>
          <w:sz w:val="20"/>
          <w:szCs w:val="20"/>
        </w:rPr>
      </w:pPr>
      <w:r w:rsidRPr="001776B6">
        <w:rPr>
          <w:rFonts w:ascii="Tahoma" w:hAnsi="Tahoma" w:cs="Tahoma"/>
          <w:sz w:val="20"/>
          <w:szCs w:val="20"/>
        </w:rPr>
        <w:t>Con escrito presentando el 15 de diciembre de 2010 ante la Oficina Desconcentrada de Piura e ingresado a la Mesa de Partes del Tribunal el 23 del mismo mes y año, la Entidad cumplió con remitir la información solicita por el Tribunal.</w:t>
      </w:r>
    </w:p>
    <w:p w:rsidR="001776B6" w:rsidRPr="001776B6" w:rsidRDefault="001776B6" w:rsidP="001776B6">
      <w:pPr>
        <w:pStyle w:val="Prrafodelista"/>
        <w:rPr>
          <w:rFonts w:ascii="Tahoma" w:hAnsi="Tahoma" w:cs="Tahoma"/>
        </w:rPr>
      </w:pPr>
    </w:p>
    <w:p w:rsidR="001776B6" w:rsidRPr="001776B6" w:rsidRDefault="001776B6" w:rsidP="001776B6">
      <w:pPr>
        <w:numPr>
          <w:ilvl w:val="0"/>
          <w:numId w:val="19"/>
        </w:numPr>
        <w:ind w:left="567" w:hanging="567"/>
        <w:jc w:val="both"/>
        <w:rPr>
          <w:rFonts w:ascii="Tahoma" w:hAnsi="Tahoma" w:cs="Tahoma"/>
          <w:sz w:val="20"/>
          <w:szCs w:val="20"/>
        </w:rPr>
      </w:pPr>
      <w:r w:rsidRPr="001776B6">
        <w:rPr>
          <w:rFonts w:ascii="Tahoma" w:hAnsi="Tahoma" w:cs="Tahoma"/>
          <w:sz w:val="20"/>
          <w:szCs w:val="20"/>
        </w:rPr>
        <w:t>Con decreto de fecha 29 de diciembre de 2010, notificado el 20 de enero del 2011, el Tribunal inició el procedimiento administrativo sancionador contra la Contratista por su supuesta responsabilidad en la resolución de la Orden de Trabajo de Terceros № 83071 de fecha 30 de noviembre de 2009, derivado de la Competencia Menor № 0300-2009-OTL/PETROPERÚ, primera convocatoria, por causal atribuible a su parte, infracción tipificada en el literal b) del numeral 1) del artículo 237 del Reglamento. Asimismo, se le requirió para que en el plazo de diez (10) días hábiles cumpliera con presentar su escrito de descargos.</w:t>
      </w:r>
    </w:p>
    <w:p w:rsidR="001776B6" w:rsidRPr="001776B6" w:rsidRDefault="001776B6" w:rsidP="001776B6">
      <w:pPr>
        <w:pStyle w:val="Prrafodelista"/>
        <w:rPr>
          <w:rFonts w:ascii="Tahoma" w:hAnsi="Tahoma" w:cs="Tahoma"/>
        </w:rPr>
      </w:pPr>
    </w:p>
    <w:p w:rsidR="001776B6" w:rsidRPr="001776B6" w:rsidRDefault="001776B6" w:rsidP="001776B6">
      <w:pPr>
        <w:numPr>
          <w:ilvl w:val="0"/>
          <w:numId w:val="19"/>
        </w:numPr>
        <w:ind w:left="567" w:hanging="567"/>
        <w:jc w:val="both"/>
        <w:rPr>
          <w:rFonts w:ascii="Tahoma" w:hAnsi="Tahoma" w:cs="Tahoma"/>
          <w:sz w:val="20"/>
          <w:szCs w:val="20"/>
        </w:rPr>
      </w:pPr>
      <w:r w:rsidRPr="001776B6">
        <w:rPr>
          <w:rFonts w:ascii="Tahoma" w:hAnsi="Tahoma" w:cs="Tahoma"/>
          <w:sz w:val="20"/>
          <w:szCs w:val="20"/>
        </w:rPr>
        <w:t xml:space="preserve">Habiendo transcurrido el plazo otorgado, sin que la Contratista cumpliera con presentar sus descargos respectivos y obrando en autos los antecedentes administrativos remitidos por la Entidad, con decreto de fecha 08 de febrero de 2011, previa razón de Secretaria del Tribunal, se hizo efectivo el apercibimiento de resolver con la documentación obrante en autos y se remitió el expediente a la Tercera Sala del Tribunal para que resuelva. </w:t>
      </w:r>
    </w:p>
    <w:p w:rsidR="001776B6" w:rsidRPr="001776B6" w:rsidRDefault="001776B6" w:rsidP="001776B6">
      <w:pPr>
        <w:pStyle w:val="Prrafodelista"/>
        <w:rPr>
          <w:rFonts w:ascii="Tahoma" w:hAnsi="Tahoma" w:cs="Tahoma"/>
          <w:lang w:val="es-PE"/>
        </w:rPr>
      </w:pPr>
    </w:p>
    <w:p w:rsidR="001776B6" w:rsidRPr="001776B6" w:rsidRDefault="001776B6" w:rsidP="001776B6">
      <w:pPr>
        <w:numPr>
          <w:ilvl w:val="0"/>
          <w:numId w:val="19"/>
        </w:numPr>
        <w:ind w:left="567" w:hanging="567"/>
        <w:jc w:val="both"/>
        <w:rPr>
          <w:rFonts w:ascii="Tahoma" w:hAnsi="Tahoma" w:cs="Tahoma"/>
          <w:sz w:val="20"/>
          <w:szCs w:val="20"/>
        </w:rPr>
      </w:pPr>
      <w:r w:rsidRPr="001776B6">
        <w:rPr>
          <w:rFonts w:ascii="Tahoma" w:hAnsi="Tahoma" w:cs="Tahoma"/>
          <w:sz w:val="20"/>
          <w:szCs w:val="20"/>
          <w:lang w:val="es-PE"/>
        </w:rPr>
        <w:t xml:space="preserve">Mediante decreto de fecha 16 de febrero de 2011, visto la </w:t>
      </w:r>
      <w:r w:rsidRPr="001776B6">
        <w:rPr>
          <w:rFonts w:ascii="Tahoma" w:eastAsiaTheme="minorHAnsi" w:hAnsi="Tahoma" w:cs="Tahoma"/>
          <w:color w:val="000000"/>
          <w:sz w:val="20"/>
          <w:szCs w:val="20"/>
        </w:rPr>
        <w:t>Resolución № 103-2011-OSCE/PRE</w:t>
      </w:r>
      <w:r w:rsidRPr="001776B6">
        <w:rPr>
          <w:rFonts w:ascii="Tahoma" w:hAnsi="Tahoma" w:cs="Tahoma"/>
          <w:sz w:val="20"/>
          <w:szCs w:val="20"/>
          <w:lang w:val="es-PE"/>
        </w:rPr>
        <w:t xml:space="preserve"> de fecha 15 de febrero de 2011 que reconformó las salas del Tribunal, se reasignó y se remitió el presente expediente a la Primera Sala del Tribunal para que continúe según su estado.</w:t>
      </w:r>
    </w:p>
    <w:p w:rsidR="006E5571" w:rsidRDefault="006E5571" w:rsidP="00E13E6B">
      <w:pPr>
        <w:pStyle w:val="Textoindependiente"/>
        <w:tabs>
          <w:tab w:val="left" w:pos="-2340"/>
          <w:tab w:val="left" w:pos="540"/>
        </w:tabs>
        <w:spacing w:after="0"/>
        <w:ind w:left="180" w:hanging="180"/>
        <w:jc w:val="both"/>
        <w:rPr>
          <w:rFonts w:ascii="Tahoma" w:hAnsi="Tahoma" w:cs="Tahoma"/>
          <w:b/>
          <w:sz w:val="20"/>
          <w:szCs w:val="20"/>
        </w:rPr>
      </w:pPr>
    </w:p>
    <w:p w:rsidR="00DA127C" w:rsidRDefault="00DA127C" w:rsidP="00E13E6B">
      <w:pPr>
        <w:pStyle w:val="Textoindependiente"/>
        <w:tabs>
          <w:tab w:val="left" w:pos="-2340"/>
          <w:tab w:val="left" w:pos="540"/>
        </w:tabs>
        <w:spacing w:after="0"/>
        <w:ind w:left="180" w:hanging="180"/>
        <w:jc w:val="both"/>
        <w:rPr>
          <w:rFonts w:ascii="Tahoma" w:hAnsi="Tahoma" w:cs="Tahoma"/>
          <w:b/>
          <w:sz w:val="20"/>
          <w:szCs w:val="20"/>
        </w:rPr>
      </w:pPr>
    </w:p>
    <w:p w:rsidR="00DA127C" w:rsidRPr="001776B6" w:rsidRDefault="00DA127C" w:rsidP="00E13E6B">
      <w:pPr>
        <w:pStyle w:val="Textoindependiente"/>
        <w:tabs>
          <w:tab w:val="left" w:pos="-2340"/>
          <w:tab w:val="left" w:pos="540"/>
        </w:tabs>
        <w:spacing w:after="0"/>
        <w:ind w:left="180" w:hanging="180"/>
        <w:jc w:val="both"/>
        <w:rPr>
          <w:rFonts w:ascii="Tahoma" w:hAnsi="Tahoma" w:cs="Tahoma"/>
          <w:b/>
          <w:sz w:val="20"/>
          <w:szCs w:val="20"/>
        </w:rPr>
      </w:pPr>
    </w:p>
    <w:p w:rsidR="00E13E6B" w:rsidRPr="001776B6" w:rsidRDefault="00E13E6B" w:rsidP="00E13E6B">
      <w:pPr>
        <w:pStyle w:val="Textoindependiente"/>
        <w:tabs>
          <w:tab w:val="left" w:pos="-2340"/>
          <w:tab w:val="left" w:pos="540"/>
        </w:tabs>
        <w:spacing w:after="0"/>
        <w:ind w:left="180" w:hanging="180"/>
        <w:jc w:val="both"/>
        <w:rPr>
          <w:rFonts w:ascii="Tahoma" w:hAnsi="Tahoma" w:cs="Tahoma"/>
          <w:b/>
          <w:sz w:val="20"/>
          <w:szCs w:val="20"/>
        </w:rPr>
      </w:pPr>
      <w:r w:rsidRPr="001776B6">
        <w:rPr>
          <w:rFonts w:ascii="Tahoma" w:hAnsi="Tahoma" w:cs="Tahoma"/>
          <w:b/>
          <w:sz w:val="20"/>
          <w:szCs w:val="20"/>
        </w:rPr>
        <w:tab/>
      </w:r>
      <w:r w:rsidRPr="001776B6">
        <w:rPr>
          <w:rFonts w:ascii="Tahoma" w:hAnsi="Tahoma" w:cs="Tahoma"/>
          <w:b/>
          <w:sz w:val="20"/>
          <w:szCs w:val="20"/>
        </w:rPr>
        <w:tab/>
        <w:t>FUNDAMENTACIÓN:</w:t>
      </w:r>
    </w:p>
    <w:p w:rsidR="00E13E6B" w:rsidRPr="001776B6" w:rsidRDefault="00E13E6B" w:rsidP="00E13E6B">
      <w:pPr>
        <w:pStyle w:val="Sangradetextonormal"/>
        <w:spacing w:after="0"/>
        <w:ind w:left="0"/>
        <w:jc w:val="both"/>
        <w:rPr>
          <w:rFonts w:ascii="Tahoma" w:hAnsi="Tahoma" w:cs="Tahoma"/>
          <w:sz w:val="20"/>
          <w:szCs w:val="20"/>
        </w:rPr>
      </w:pPr>
    </w:p>
    <w:p w:rsidR="001776B6" w:rsidRPr="001776B6" w:rsidRDefault="001776B6" w:rsidP="001776B6">
      <w:pPr>
        <w:pStyle w:val="Prrafodelista"/>
        <w:numPr>
          <w:ilvl w:val="0"/>
          <w:numId w:val="4"/>
        </w:numPr>
        <w:ind w:left="567" w:hanging="567"/>
        <w:jc w:val="both"/>
        <w:rPr>
          <w:rFonts w:ascii="Tahoma" w:hAnsi="Tahoma" w:cs="Tahoma"/>
        </w:rPr>
      </w:pPr>
      <w:r w:rsidRPr="001776B6">
        <w:rPr>
          <w:rFonts w:ascii="Tahoma" w:hAnsi="Tahoma" w:cs="Tahoma"/>
        </w:rPr>
        <w:t>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1776B6" w:rsidRPr="001776B6" w:rsidRDefault="001776B6" w:rsidP="001776B6">
      <w:pPr>
        <w:pStyle w:val="Prrafodelista"/>
        <w:ind w:left="567"/>
        <w:rPr>
          <w:rFonts w:ascii="Tahoma" w:hAnsi="Tahoma" w:cs="Tahoma"/>
        </w:rPr>
      </w:pPr>
    </w:p>
    <w:p w:rsidR="001776B6" w:rsidRPr="001776B6" w:rsidRDefault="001776B6" w:rsidP="001776B6">
      <w:pPr>
        <w:pStyle w:val="Prrafodelista"/>
        <w:numPr>
          <w:ilvl w:val="0"/>
          <w:numId w:val="4"/>
        </w:numPr>
        <w:ind w:left="567" w:hanging="567"/>
        <w:jc w:val="both"/>
        <w:rPr>
          <w:rFonts w:ascii="Tahoma" w:hAnsi="Tahoma" w:cs="Tahoma"/>
        </w:rPr>
      </w:pPr>
      <w:r w:rsidRPr="001776B6">
        <w:rPr>
          <w:rFonts w:ascii="Tahoma" w:hAnsi="Tahoma" w:cs="Tahoma"/>
        </w:rPr>
        <w:t>El presente caso está referido a la supuesta responsabilidad de la Contratista por el incumplimiento injustificado de las obligaciones de la Orden de Trabajo de Terceros № 83071 de fecha 30 de noviembre de 2009, derivado de la Competencia Menor № 0300-2009-OTL/PETROPERÚ, primera convocatoria, para el “Servicio de Mantenimiento y Reparación de Vivienda H-5B Condominio Punta Arenas”.</w:t>
      </w:r>
    </w:p>
    <w:p w:rsidR="001776B6" w:rsidRPr="001776B6" w:rsidRDefault="001776B6" w:rsidP="001776B6">
      <w:pPr>
        <w:pStyle w:val="Prrafodelista"/>
        <w:rPr>
          <w:rFonts w:ascii="Tahoma" w:hAnsi="Tahoma" w:cs="Tahoma"/>
          <w:color w:val="000000"/>
          <w:lang w:val="es-ES_tradnl" w:eastAsia="es-ES"/>
        </w:rPr>
      </w:pPr>
    </w:p>
    <w:p w:rsidR="001776B6" w:rsidRPr="001776B6" w:rsidRDefault="001776B6" w:rsidP="001776B6">
      <w:pPr>
        <w:pStyle w:val="Prrafodelista"/>
        <w:numPr>
          <w:ilvl w:val="0"/>
          <w:numId w:val="4"/>
        </w:numPr>
        <w:ind w:left="567" w:hanging="567"/>
        <w:jc w:val="both"/>
        <w:rPr>
          <w:rFonts w:ascii="Tahoma" w:hAnsi="Tahoma" w:cs="Tahoma"/>
        </w:rPr>
      </w:pPr>
      <w:r w:rsidRPr="001776B6">
        <w:rPr>
          <w:rFonts w:ascii="Tahoma" w:hAnsi="Tahoma" w:cs="Tahoma"/>
          <w:color w:val="000000"/>
          <w:lang w:val="es-ES_tradnl" w:eastAsia="es-ES"/>
        </w:rPr>
        <w:t>Habiéndose advertido que el presente proceso deviene de un proceso de selección por Competencia Menor resulta pertinente evaluar el marco normativo que rige el citado proceso, a fin de determinar la competencia este Tribunal en la denuncia que nos ocupa.</w:t>
      </w:r>
    </w:p>
    <w:p w:rsidR="001776B6" w:rsidRPr="001776B6" w:rsidRDefault="001776B6" w:rsidP="001776B6">
      <w:pPr>
        <w:pStyle w:val="Prrafodelista"/>
        <w:rPr>
          <w:rFonts w:ascii="Tahoma" w:hAnsi="Tahoma" w:cs="Tahoma"/>
        </w:rPr>
      </w:pPr>
    </w:p>
    <w:p w:rsidR="001776B6" w:rsidRPr="001776B6" w:rsidRDefault="001776B6" w:rsidP="001776B6">
      <w:pPr>
        <w:pStyle w:val="Prrafodelista"/>
        <w:numPr>
          <w:ilvl w:val="0"/>
          <w:numId w:val="4"/>
        </w:numPr>
        <w:ind w:left="567" w:hanging="567"/>
        <w:jc w:val="both"/>
        <w:rPr>
          <w:rFonts w:ascii="Tahoma" w:hAnsi="Tahoma" w:cs="Tahoma"/>
        </w:rPr>
      </w:pPr>
      <w:r w:rsidRPr="001776B6">
        <w:rPr>
          <w:rFonts w:ascii="Tahoma" w:hAnsi="Tahoma" w:cs="Tahoma"/>
        </w:rPr>
        <w:t>Por Ley № 28840</w:t>
      </w:r>
      <w:r w:rsidRPr="001776B6">
        <w:rPr>
          <w:rStyle w:val="Refdenotaalpie"/>
          <w:rFonts w:ascii="Tahoma" w:hAnsi="Tahoma" w:cs="Tahoma"/>
        </w:rPr>
        <w:footnoteReference w:id="2"/>
      </w:r>
      <w:r w:rsidRPr="001776B6">
        <w:rPr>
          <w:rFonts w:ascii="Tahoma" w:hAnsi="Tahoma" w:cs="Tahoma"/>
        </w:rPr>
        <w:t>, se declaró de interés nacional el fortalecimiento y modernización de PETROPERÚ, estableciendo que sus actividades deben desarrollarse en el marco de dicha Ley, su Ley Orgánica, el Decreto Legislativo № 43 y su modificatoria, la Ley № 26224, su Estatuto Social, y supletoriamente por las disposiciones de la Ley General de Sociedades.</w:t>
      </w:r>
    </w:p>
    <w:p w:rsidR="001776B6" w:rsidRPr="001776B6" w:rsidRDefault="001776B6" w:rsidP="001776B6">
      <w:pPr>
        <w:pStyle w:val="Prrafodelista"/>
        <w:rPr>
          <w:rFonts w:ascii="Tahoma" w:hAnsi="Tahoma" w:cs="Tahoma"/>
        </w:rPr>
      </w:pPr>
    </w:p>
    <w:p w:rsidR="001776B6" w:rsidRPr="001776B6" w:rsidRDefault="001776B6" w:rsidP="001776B6">
      <w:pPr>
        <w:pStyle w:val="Prrafodelista"/>
        <w:numPr>
          <w:ilvl w:val="0"/>
          <w:numId w:val="4"/>
        </w:numPr>
        <w:ind w:left="567" w:hanging="567"/>
        <w:jc w:val="both"/>
        <w:rPr>
          <w:rFonts w:ascii="Tahoma" w:hAnsi="Tahoma" w:cs="Tahoma"/>
        </w:rPr>
      </w:pPr>
      <w:r w:rsidRPr="001776B6">
        <w:rPr>
          <w:rFonts w:ascii="Tahoma" w:hAnsi="Tahoma" w:cs="Tahoma"/>
        </w:rPr>
        <w:t xml:space="preserve">La Segunda Disposición Complementaria de la Ley № 28840 refiere que las adquisiciones y contrataciones de PETROPERÚ se rigen por su Reglamento, propuesto por su Directorio y aprobado por el CONSUCODE. Asimismo, establece que las modalidades de adquisiciones y contrataciones de PETROPERÚ S.A. serán definidas en su Reglamento y se regirán por los principios de eficiencia, economía, transparencia y auditabilidad, así como los demás principios contenidos en la legislación de la materia. </w:t>
      </w:r>
    </w:p>
    <w:p w:rsidR="001776B6" w:rsidRPr="001776B6" w:rsidRDefault="001776B6" w:rsidP="001776B6">
      <w:pPr>
        <w:pStyle w:val="Prrafodelista"/>
        <w:rPr>
          <w:rFonts w:ascii="Tahoma" w:hAnsi="Tahoma" w:cs="Tahoma"/>
        </w:rPr>
      </w:pPr>
    </w:p>
    <w:p w:rsidR="001776B6" w:rsidRPr="001776B6" w:rsidRDefault="001776B6" w:rsidP="001776B6">
      <w:pPr>
        <w:pStyle w:val="Prrafodelista"/>
        <w:numPr>
          <w:ilvl w:val="0"/>
          <w:numId w:val="4"/>
        </w:numPr>
        <w:ind w:left="567" w:hanging="567"/>
        <w:jc w:val="both"/>
        <w:rPr>
          <w:rFonts w:ascii="Tahoma" w:hAnsi="Tahoma" w:cs="Tahoma"/>
        </w:rPr>
      </w:pPr>
      <w:r w:rsidRPr="001776B6">
        <w:rPr>
          <w:rFonts w:ascii="Tahoma" w:hAnsi="Tahoma" w:cs="Tahoma"/>
        </w:rPr>
        <w:t>En tal sentido, mediante Resolución № 456-2006-CONSUCODE/PRE</w:t>
      </w:r>
      <w:r w:rsidRPr="001776B6">
        <w:rPr>
          <w:rStyle w:val="Refdenotaalpie"/>
          <w:rFonts w:ascii="Tahoma" w:hAnsi="Tahoma" w:cs="Tahoma"/>
        </w:rPr>
        <w:footnoteReference w:id="3"/>
      </w:r>
      <w:r w:rsidRPr="001776B6">
        <w:rPr>
          <w:rFonts w:ascii="Tahoma" w:hAnsi="Tahoma" w:cs="Tahoma"/>
        </w:rPr>
        <w:t xml:space="preserve"> se aprobó el Reglamento de Adquisiciones y Contrataciones de Petróleos del Perú S.A., modificado por Resolución № 171-2008-CONSUCODE/PRE</w:t>
      </w:r>
      <w:r w:rsidRPr="001776B6">
        <w:rPr>
          <w:rStyle w:val="Refdenotaalpie"/>
          <w:rFonts w:ascii="Tahoma" w:hAnsi="Tahoma" w:cs="Tahoma"/>
        </w:rPr>
        <w:footnoteReference w:id="4"/>
      </w:r>
      <w:r w:rsidRPr="001776B6">
        <w:rPr>
          <w:rFonts w:ascii="Tahoma" w:hAnsi="Tahoma" w:cs="Tahoma"/>
        </w:rPr>
        <w:t>,  el cual tiene como objetivo regular de manera integral y uniforme los procedimientos de adquisiciones de bienes y contrataciones de servicios y obras necesarios para el cumplimiento del objeto social de PETROPERÚ.</w:t>
      </w:r>
    </w:p>
    <w:p w:rsidR="001776B6" w:rsidRPr="001776B6" w:rsidRDefault="001776B6" w:rsidP="001776B6">
      <w:pPr>
        <w:pStyle w:val="Prrafodelista"/>
        <w:rPr>
          <w:rFonts w:ascii="Tahoma" w:hAnsi="Tahoma" w:cs="Tahoma"/>
          <w:lang w:val="es-ES_tradnl"/>
        </w:rPr>
      </w:pPr>
    </w:p>
    <w:p w:rsidR="001776B6" w:rsidRPr="001776B6" w:rsidRDefault="001776B6" w:rsidP="001776B6">
      <w:pPr>
        <w:pStyle w:val="Prrafodelista"/>
        <w:numPr>
          <w:ilvl w:val="0"/>
          <w:numId w:val="4"/>
        </w:numPr>
        <w:ind w:left="567" w:hanging="567"/>
        <w:jc w:val="both"/>
        <w:rPr>
          <w:rFonts w:ascii="Tahoma" w:hAnsi="Tahoma" w:cs="Tahoma"/>
        </w:rPr>
      </w:pPr>
      <w:r w:rsidRPr="001776B6">
        <w:rPr>
          <w:rFonts w:ascii="Tahoma" w:hAnsi="Tahoma" w:cs="Tahoma"/>
          <w:lang w:val="es-ES_tradnl"/>
        </w:rPr>
        <w:t>Asimismo, el numeral 4 del citado Reglamento, referido a la base normativa del Reglamento, dispone que es aplicable el Texto Único Ordenado de la Ley de Contrataciones y Adquisiciones del Estado</w:t>
      </w:r>
      <w:r w:rsidRPr="001776B6">
        <w:rPr>
          <w:rStyle w:val="Refdenotaalpie"/>
          <w:rFonts w:ascii="Tahoma" w:hAnsi="Tahoma" w:cs="Tahoma"/>
          <w:lang w:val="es-ES_tradnl"/>
        </w:rPr>
        <w:footnoteReference w:id="5"/>
      </w:r>
      <w:r w:rsidRPr="001776B6">
        <w:rPr>
          <w:rFonts w:ascii="Tahoma" w:hAnsi="Tahoma" w:cs="Tahoma"/>
          <w:lang w:val="es-ES_tradnl"/>
        </w:rPr>
        <w:t xml:space="preserve"> y sus modificatorias, en lo que resulte aplicable en los aspectos referidos al Registro Nacional de Proveedores (RNP), Sistema Electrónico de Adquisiciones y Contrataciones del Estado (SEACE)</w:t>
      </w:r>
      <w:r w:rsidRPr="001776B6">
        <w:rPr>
          <w:rStyle w:val="Refdenotaalpie"/>
          <w:rFonts w:ascii="Tahoma" w:hAnsi="Tahoma" w:cs="Tahoma"/>
          <w:lang w:val="es-ES_tradnl"/>
        </w:rPr>
        <w:footnoteReference w:id="6"/>
      </w:r>
      <w:r w:rsidRPr="001776B6">
        <w:rPr>
          <w:rFonts w:ascii="Tahoma" w:hAnsi="Tahoma" w:cs="Tahoma"/>
          <w:lang w:val="es-ES_tradnl"/>
        </w:rPr>
        <w:t xml:space="preserve">, recursos de impugnación y </w:t>
      </w:r>
      <w:r w:rsidRPr="001776B6">
        <w:rPr>
          <w:rFonts w:ascii="Tahoma" w:hAnsi="Tahoma" w:cs="Tahoma"/>
          <w:b/>
          <w:lang w:val="es-ES_tradnl"/>
        </w:rPr>
        <w:lastRenderedPageBreak/>
        <w:t xml:space="preserve">procedimientos administrativos sancionadores que se tramitan ante el Tribunal de Contrataciones y Adquisiciones del Estado. </w:t>
      </w:r>
      <w:r w:rsidRPr="001776B6">
        <w:rPr>
          <w:rFonts w:ascii="Tahoma" w:hAnsi="Tahoma" w:cs="Tahoma"/>
          <w:lang w:val="es-ES_tradnl"/>
        </w:rPr>
        <w:t>(El resaltado es nuestro).</w:t>
      </w:r>
      <w:r w:rsidRPr="001776B6">
        <w:rPr>
          <w:rFonts w:ascii="Tahoma" w:hAnsi="Tahoma" w:cs="Tahoma"/>
          <w:b/>
          <w:lang w:val="es-ES_tradnl"/>
        </w:rPr>
        <w:t xml:space="preserve"> </w:t>
      </w:r>
    </w:p>
    <w:p w:rsidR="001776B6" w:rsidRPr="001776B6" w:rsidRDefault="001776B6" w:rsidP="001776B6">
      <w:pPr>
        <w:pStyle w:val="Prrafodelista"/>
        <w:rPr>
          <w:rFonts w:ascii="Tahoma" w:hAnsi="Tahoma" w:cs="Tahoma"/>
          <w:lang w:val="es-ES_tradnl"/>
        </w:rPr>
      </w:pPr>
    </w:p>
    <w:p w:rsidR="001776B6" w:rsidRPr="001776B6" w:rsidRDefault="001776B6" w:rsidP="001776B6">
      <w:pPr>
        <w:pStyle w:val="Prrafodelista"/>
        <w:numPr>
          <w:ilvl w:val="0"/>
          <w:numId w:val="4"/>
        </w:numPr>
        <w:ind w:left="567" w:hanging="567"/>
        <w:jc w:val="both"/>
        <w:rPr>
          <w:rFonts w:ascii="Tahoma" w:hAnsi="Tahoma" w:cs="Tahoma"/>
        </w:rPr>
      </w:pPr>
      <w:r w:rsidRPr="001776B6">
        <w:rPr>
          <w:rFonts w:ascii="Tahoma" w:hAnsi="Tahoma" w:cs="Tahoma"/>
          <w:lang w:val="es-ES_tradnl"/>
        </w:rPr>
        <w:t>Por estas consideraciones, este Colegiado resulta</w:t>
      </w:r>
      <w:r w:rsidRPr="001776B6">
        <w:rPr>
          <w:rFonts w:ascii="Tahoma" w:hAnsi="Tahoma" w:cs="Tahoma"/>
          <w:b/>
          <w:lang w:val="es-ES_tradnl"/>
        </w:rPr>
        <w:t xml:space="preserve"> </w:t>
      </w:r>
      <w:r w:rsidRPr="001776B6">
        <w:rPr>
          <w:rFonts w:ascii="Tahoma" w:hAnsi="Tahoma" w:cs="Tahoma"/>
        </w:rPr>
        <w:t>competente para pronunciarse sobre la supuesta responsabilidad de la Contratista al haber dado lugar a la Resolución de la Orden de Trabajo de Terceros № 83071 de fecha 30 de noviembre de 2009</w:t>
      </w:r>
      <w:r w:rsidRPr="001776B6">
        <w:rPr>
          <w:rFonts w:ascii="Tahoma" w:hAnsi="Tahoma" w:cs="Tahoma"/>
          <w:lang w:val="es-ES_tradnl"/>
        </w:rPr>
        <w:t xml:space="preserve">; infracción tipificada en el numeral </w:t>
      </w:r>
      <w:r w:rsidRPr="001776B6">
        <w:rPr>
          <w:rFonts w:ascii="Tahoma" w:hAnsi="Tahoma" w:cs="Tahoma"/>
        </w:rPr>
        <w:t>51.1 literal b) del artículo 51 de la Ley de Contrataciones del Estado y numeral 1 literal b) del artículo 237 del Reglamento de la Ley de Contrataciones del Estado</w:t>
      </w:r>
      <w:r w:rsidRPr="001776B6">
        <w:rPr>
          <w:rStyle w:val="Refdenotaalpie"/>
          <w:rFonts w:ascii="Tahoma" w:hAnsi="Tahoma" w:cs="Tahoma"/>
        </w:rPr>
        <w:footnoteReference w:id="7"/>
      </w:r>
      <w:r w:rsidRPr="001776B6">
        <w:rPr>
          <w:rFonts w:ascii="Tahoma" w:hAnsi="Tahoma" w:cs="Tahoma"/>
        </w:rPr>
        <w:t>, aprobado por Decreto Legislativo № 1017 y Decreto Supremo Nº 184-2008-EF, respectivamente, en adelante la Ley y el Reglamento, norma vigente al momento de suscitarse los hechos imputados.</w:t>
      </w:r>
    </w:p>
    <w:p w:rsidR="001776B6" w:rsidRPr="001776B6" w:rsidRDefault="001776B6" w:rsidP="001776B6">
      <w:pPr>
        <w:pStyle w:val="Prrafodelista"/>
        <w:ind w:left="567"/>
        <w:rPr>
          <w:rFonts w:ascii="Tahoma" w:hAnsi="Tahoma" w:cs="Tahoma"/>
          <w:lang w:val="es-ES_tradnl"/>
        </w:rPr>
      </w:pPr>
    </w:p>
    <w:p w:rsidR="001776B6" w:rsidRPr="001776B6" w:rsidRDefault="001776B6" w:rsidP="001776B6">
      <w:pPr>
        <w:pStyle w:val="Prrafodelista"/>
        <w:numPr>
          <w:ilvl w:val="0"/>
          <w:numId w:val="4"/>
        </w:numPr>
        <w:ind w:left="567" w:hanging="567"/>
        <w:jc w:val="both"/>
        <w:rPr>
          <w:rFonts w:ascii="Tahoma" w:hAnsi="Tahoma" w:cs="Tahoma"/>
        </w:rPr>
      </w:pPr>
      <w:r w:rsidRPr="001776B6">
        <w:rPr>
          <w:rFonts w:ascii="Tahoma" w:hAnsi="Tahoma" w:cs="Tahoma"/>
        </w:rPr>
        <w:t>Al respecto, la infracción tipificada en el literal b) del numeral 51.1 del artículo 51 de la Ley en concordancia con el literal b) del numeral 1) del artículo 237 del Reglamento establece como supuesto de hecho indispensable para su configuración, la resolución del contrato, orden de compra o de servicios, según corresponda, por causal atribuible a la Contratista.</w:t>
      </w:r>
    </w:p>
    <w:p w:rsidR="001776B6" w:rsidRPr="001776B6" w:rsidRDefault="001776B6" w:rsidP="001776B6">
      <w:pPr>
        <w:pStyle w:val="Prrafodelista"/>
        <w:rPr>
          <w:rFonts w:ascii="Tahoma" w:hAnsi="Tahoma" w:cs="Tahoma"/>
        </w:rPr>
      </w:pPr>
    </w:p>
    <w:p w:rsidR="001776B6" w:rsidRPr="001776B6" w:rsidRDefault="001776B6" w:rsidP="001776B6">
      <w:pPr>
        <w:pStyle w:val="Prrafodelista"/>
        <w:numPr>
          <w:ilvl w:val="0"/>
          <w:numId w:val="4"/>
        </w:numPr>
        <w:ind w:left="567" w:hanging="567"/>
        <w:jc w:val="both"/>
        <w:rPr>
          <w:rFonts w:ascii="Tahoma" w:hAnsi="Tahoma" w:cs="Tahoma"/>
        </w:rPr>
      </w:pPr>
      <w:r w:rsidRPr="001776B6">
        <w:rPr>
          <w:rFonts w:ascii="Tahoma" w:hAnsi="Tahoma" w:cs="Tahoma"/>
        </w:rPr>
        <w:t xml:space="preserve">Ahora bien, conforme a los criterios adoptados por el Tribunal en anteriores oportunidades, para que se configure el supuesto de hecho de la norma que contiene la infracción imputada, debe necesariamente acreditarse que el contrato, orden de compra u orden de trabajo, fuente de obligaciones, haya sido resuelto por causal atribuible a la propia Contratista, en concordancia con el literal a) del numeral 10.11 del Reglamento de Adquisiciones y Contrataciones de Petróleos del Perú S.A., aprobado por </w:t>
      </w:r>
      <w:r w:rsidRPr="001776B6">
        <w:rPr>
          <w:rFonts w:ascii="Tahoma" w:hAnsi="Tahoma" w:cs="Tahoma"/>
          <w:lang w:val="es-PE"/>
        </w:rPr>
        <w:t xml:space="preserve">Resolución № 171-2008-CONSUCODE/PRE, en lo sucesivo, el Reglamento de Petroperú. </w:t>
      </w:r>
    </w:p>
    <w:p w:rsidR="001776B6" w:rsidRPr="001776B6" w:rsidRDefault="001776B6" w:rsidP="001776B6">
      <w:pPr>
        <w:pStyle w:val="Prrafodelista"/>
        <w:rPr>
          <w:rFonts w:ascii="Tahoma" w:hAnsi="Tahoma" w:cs="Tahoma"/>
        </w:rPr>
      </w:pPr>
    </w:p>
    <w:p w:rsidR="001776B6" w:rsidRPr="001776B6" w:rsidRDefault="001776B6" w:rsidP="001776B6">
      <w:pPr>
        <w:pStyle w:val="Prrafodelista"/>
        <w:numPr>
          <w:ilvl w:val="0"/>
          <w:numId w:val="4"/>
        </w:numPr>
        <w:ind w:left="567" w:hanging="567"/>
        <w:jc w:val="both"/>
        <w:rPr>
          <w:rFonts w:ascii="Tahoma" w:hAnsi="Tahoma" w:cs="Tahoma"/>
        </w:rPr>
      </w:pPr>
      <w:r w:rsidRPr="001776B6">
        <w:rPr>
          <w:rFonts w:ascii="Tahoma" w:hAnsi="Tahoma" w:cs="Tahoma"/>
        </w:rPr>
        <w:t>Así tenemos que el referido numeral del Reglamento antes descrito, prescribe como causales de resolución de contrato en sus literales a) incumplimiento injustificado de las obligaciones contractuales; b) Haya acumulado el monto máximo de la penalidad por mora; y c) Paralice o reduzca injustificadamente la ejecución de la prestación, pese a haber sido requerido para corregir tal situación.</w:t>
      </w:r>
    </w:p>
    <w:p w:rsidR="001776B6" w:rsidRPr="001776B6" w:rsidRDefault="001776B6" w:rsidP="001776B6">
      <w:pPr>
        <w:pStyle w:val="Prrafodelista"/>
        <w:rPr>
          <w:rFonts w:ascii="Tahoma" w:hAnsi="Tahoma" w:cs="Tahoma"/>
          <w:lang w:val="es-ES_tradnl"/>
        </w:rPr>
      </w:pPr>
    </w:p>
    <w:p w:rsidR="001776B6" w:rsidRPr="001776B6" w:rsidRDefault="001776B6" w:rsidP="001776B6">
      <w:pPr>
        <w:pStyle w:val="Prrafodelista"/>
        <w:numPr>
          <w:ilvl w:val="0"/>
          <w:numId w:val="4"/>
        </w:numPr>
        <w:ind w:left="567" w:hanging="567"/>
        <w:jc w:val="both"/>
        <w:rPr>
          <w:rFonts w:ascii="Tahoma" w:hAnsi="Tahoma" w:cs="Tahoma"/>
        </w:rPr>
      </w:pPr>
      <w:r w:rsidRPr="001776B6">
        <w:rPr>
          <w:rFonts w:ascii="Tahoma" w:hAnsi="Tahoma" w:cs="Tahoma"/>
          <w:lang w:val="es-ES_tradnl"/>
        </w:rPr>
        <w:t xml:space="preserve">Asimismo, </w:t>
      </w:r>
      <w:r w:rsidRPr="001776B6">
        <w:rPr>
          <w:rFonts w:ascii="Tahoma" w:hAnsi="Tahoma" w:cs="Tahoma"/>
        </w:rPr>
        <w:t>el numeral 10.12 del Reglamento</w:t>
      </w:r>
      <w:r w:rsidRPr="001776B6">
        <w:rPr>
          <w:rFonts w:ascii="Tahoma" w:hAnsi="Tahoma" w:cs="Tahoma"/>
          <w:vertAlign w:val="superscript"/>
        </w:rPr>
        <w:footnoteReference w:id="8"/>
      </w:r>
      <w:r w:rsidRPr="001776B6">
        <w:rPr>
          <w:rFonts w:ascii="Tahoma" w:hAnsi="Tahoma" w:cs="Tahoma"/>
        </w:rPr>
        <w:t xml:space="preserve"> prescribe que, si alguna de las partes falta al cumplimiento de sus obligaciones, la parte perjudicada deberá requerirla mediante carta notarial para que las satisfaga en un plazo no mayor a cinco (5) días, dependiendo del monto involucrado y de la complejidad, envergadura o sofisticación de la adquisición o contratación y, en el caso de obra, puede establecer plazos mayores, pero en ningún caso </w:t>
      </w:r>
      <w:r w:rsidRPr="001776B6">
        <w:rPr>
          <w:rFonts w:ascii="Tahoma" w:hAnsi="Tahoma" w:cs="Tahoma"/>
        </w:rPr>
        <w:lastRenderedPageBreak/>
        <w:t>superior a quince (15) días. Si vencido dicho plazo el incumplimiento continúa, la parte perjudicada, mediante carta notarial, resolverá el contrato en forma total o parcial</w:t>
      </w:r>
      <w:r w:rsidRPr="001776B6">
        <w:rPr>
          <w:rFonts w:ascii="Tahoma" w:hAnsi="Tahoma" w:cs="Tahoma"/>
          <w:lang w:val="es-ES_tradnl"/>
        </w:rPr>
        <w:t>.</w:t>
      </w:r>
    </w:p>
    <w:p w:rsidR="001776B6" w:rsidRPr="001776B6" w:rsidRDefault="001776B6" w:rsidP="001776B6">
      <w:pPr>
        <w:pStyle w:val="Prrafodelista"/>
        <w:rPr>
          <w:rFonts w:ascii="Tahoma" w:hAnsi="Tahoma" w:cs="Tahoma"/>
        </w:rPr>
      </w:pPr>
    </w:p>
    <w:p w:rsidR="001776B6" w:rsidRPr="001776B6" w:rsidRDefault="001776B6" w:rsidP="001776B6">
      <w:pPr>
        <w:pStyle w:val="Prrafodelista"/>
        <w:numPr>
          <w:ilvl w:val="0"/>
          <w:numId w:val="4"/>
        </w:numPr>
        <w:ind w:left="567" w:hanging="567"/>
        <w:jc w:val="both"/>
        <w:rPr>
          <w:rFonts w:ascii="Tahoma" w:hAnsi="Tahoma" w:cs="Tahoma"/>
        </w:rPr>
      </w:pPr>
      <w:r w:rsidRPr="001776B6">
        <w:rPr>
          <w:rFonts w:ascii="Tahoma" w:hAnsi="Tahoma" w:cs="Tahoma"/>
        </w:rPr>
        <w:t>De la lectura de las disposiciones glosadas y conforme a los criterios utilizados por el Tribunal en anteriores oportunidades, para que la infracción imputada se configure, es menester que la Entidad, efectivamente, haya resuelto el contrato conforme al procedimiento descrito. De esta manera, aún en los casos en los que se hayan generado incumplimientos contractuales, si se logra verificar que la Entidad no ha resuelto el contrato en observancia de las normas citadas, la conducta no será pasible de sanción.</w:t>
      </w:r>
    </w:p>
    <w:p w:rsidR="001776B6" w:rsidRPr="001776B6" w:rsidRDefault="001776B6" w:rsidP="001776B6">
      <w:pPr>
        <w:pStyle w:val="Prrafodelista"/>
        <w:rPr>
          <w:rFonts w:ascii="Tahoma" w:hAnsi="Tahoma" w:cs="Tahoma"/>
        </w:rPr>
      </w:pPr>
    </w:p>
    <w:p w:rsidR="001776B6" w:rsidRPr="001776B6" w:rsidRDefault="001776B6" w:rsidP="001776B6">
      <w:pPr>
        <w:pStyle w:val="Prrafodelista"/>
        <w:numPr>
          <w:ilvl w:val="0"/>
          <w:numId w:val="4"/>
        </w:numPr>
        <w:ind w:left="567" w:hanging="567"/>
        <w:jc w:val="both"/>
        <w:rPr>
          <w:rFonts w:ascii="Tahoma" w:hAnsi="Tahoma" w:cs="Tahoma"/>
        </w:rPr>
      </w:pPr>
      <w:r w:rsidRPr="001776B6">
        <w:rPr>
          <w:rFonts w:ascii="Tahoma" w:hAnsi="Tahoma" w:cs="Tahoma"/>
        </w:rPr>
        <w:t>Este criterio, además, ha sido recogido en el Acuerdo de Sala Plena № 018/010 del 4 de setiembre de 2002</w:t>
      </w:r>
      <w:r w:rsidRPr="001776B6">
        <w:rPr>
          <w:rStyle w:val="Refdenotaalpie"/>
          <w:rFonts w:ascii="Tahoma" w:hAnsi="Tahoma" w:cs="Tahoma"/>
        </w:rPr>
        <w:footnoteReference w:id="9"/>
      </w:r>
      <w:r w:rsidRPr="001776B6">
        <w:rPr>
          <w:rFonts w:ascii="Tahoma" w:hAnsi="Tahoma" w:cs="Tahoma"/>
        </w:rPr>
        <w:t>, en el que el Tribunal expresamente dispuso que, para la imposición de sanción por la causal que nos ocupa, las Entidades denunciantes deberán presentar la documentación que acredite haber dado cumplimiento al procedimiento de resolución antes expuesto, es decir el envío de la carta notarial de requerimiento previo a la Contratista para el cumplimiento de la obligación y la carta notarial mediante la cual se le comunica el Acuerdo o Resolución que resuelve el contrato, agregando que en caso de no habérsele requerido o cuando, habiendo sido solicitados los documentos acreditativos por el Tribunal, estos no hubiesen sido presentados, se declarará no ha lugar al inicio del procedimiento administrativo sancionador, disponiéndose el archivamiento del expediente, al haberse incumplido con el debido procedimiento.</w:t>
      </w:r>
    </w:p>
    <w:p w:rsidR="001776B6" w:rsidRPr="001776B6" w:rsidRDefault="001776B6" w:rsidP="001776B6">
      <w:pPr>
        <w:pStyle w:val="Prrafodelista"/>
        <w:rPr>
          <w:rFonts w:ascii="Tahoma" w:hAnsi="Tahoma" w:cs="Tahoma"/>
        </w:rPr>
      </w:pPr>
    </w:p>
    <w:p w:rsidR="001776B6" w:rsidRPr="001776B6" w:rsidRDefault="001776B6" w:rsidP="001776B6">
      <w:pPr>
        <w:pStyle w:val="Prrafodelista"/>
        <w:numPr>
          <w:ilvl w:val="0"/>
          <w:numId w:val="4"/>
        </w:numPr>
        <w:ind w:left="567" w:hanging="567"/>
        <w:jc w:val="both"/>
        <w:rPr>
          <w:rFonts w:ascii="Tahoma" w:hAnsi="Tahoma" w:cs="Tahoma"/>
        </w:rPr>
      </w:pPr>
      <w:r w:rsidRPr="001776B6">
        <w:rPr>
          <w:rFonts w:ascii="Tahoma" w:hAnsi="Tahoma" w:cs="Tahoma"/>
        </w:rPr>
        <w:t>Sobre el particular, de la documentación obrante en autos, se observa que la Entidad remitió al Contratista, vía conducto notarial, dos (2) comunicaciones:</w:t>
      </w:r>
    </w:p>
    <w:p w:rsidR="001776B6" w:rsidRPr="001776B6" w:rsidRDefault="001776B6" w:rsidP="001776B6">
      <w:pPr>
        <w:pStyle w:val="Prrafodelista"/>
        <w:ind w:left="0"/>
        <w:rPr>
          <w:rFonts w:ascii="Tahoma" w:hAnsi="Tahoma" w:cs="Tahoma"/>
        </w:rPr>
      </w:pPr>
    </w:p>
    <w:p w:rsidR="001776B6" w:rsidRPr="001776B6" w:rsidRDefault="001776B6" w:rsidP="001776B6">
      <w:pPr>
        <w:numPr>
          <w:ilvl w:val="0"/>
          <w:numId w:val="25"/>
        </w:numPr>
        <w:ind w:left="1134" w:hanging="425"/>
        <w:jc w:val="both"/>
        <w:rPr>
          <w:rFonts w:ascii="Tahoma" w:hAnsi="Tahoma" w:cs="Tahoma"/>
          <w:sz w:val="20"/>
          <w:szCs w:val="20"/>
        </w:rPr>
      </w:pPr>
      <w:r w:rsidRPr="001776B6">
        <w:rPr>
          <w:rFonts w:ascii="Tahoma" w:hAnsi="Tahoma" w:cs="Tahoma"/>
          <w:sz w:val="20"/>
          <w:szCs w:val="20"/>
        </w:rPr>
        <w:t>A través de la Carta № TL-USGE-055-2010 de fecha 28 de enero de 2010, diligenciada notarialmente el 29 del mismo mes y año, la Entidad otorgó a la Contratista el plazo de dos (2) días calendario a fin de que cumpla con sus obligaciones contractuales, bajo apercibimiento de resolver el Orden de Trabajo de Terceros № 83071.</w:t>
      </w:r>
    </w:p>
    <w:p w:rsidR="001776B6" w:rsidRPr="001776B6" w:rsidRDefault="001776B6" w:rsidP="001776B6">
      <w:pPr>
        <w:pStyle w:val="Prrafodelista"/>
        <w:ind w:left="1134" w:hanging="425"/>
        <w:rPr>
          <w:rFonts w:ascii="Tahoma" w:hAnsi="Tahoma" w:cs="Tahoma"/>
        </w:rPr>
      </w:pPr>
    </w:p>
    <w:p w:rsidR="001776B6" w:rsidRPr="001776B6" w:rsidRDefault="001776B6" w:rsidP="001776B6">
      <w:pPr>
        <w:numPr>
          <w:ilvl w:val="0"/>
          <w:numId w:val="25"/>
        </w:numPr>
        <w:ind w:left="1134" w:hanging="425"/>
        <w:jc w:val="both"/>
        <w:rPr>
          <w:rFonts w:ascii="Tahoma" w:hAnsi="Tahoma" w:cs="Tahoma"/>
          <w:sz w:val="20"/>
          <w:szCs w:val="20"/>
        </w:rPr>
      </w:pPr>
      <w:r w:rsidRPr="001776B6">
        <w:rPr>
          <w:rFonts w:ascii="Tahoma" w:hAnsi="Tahoma" w:cs="Tahoma"/>
          <w:sz w:val="20"/>
          <w:szCs w:val="20"/>
        </w:rPr>
        <w:t>Con la Carta № TL-USGE-089-2010 de fecha 10 de febrero de 2010, diligenciada notarialmente el mismo día, mes y año, la Entidad comunicó a la Contratista la resolución del vínculo contractual, por causal atribuible a su parte.</w:t>
      </w:r>
    </w:p>
    <w:p w:rsidR="001776B6" w:rsidRPr="001776B6" w:rsidRDefault="001776B6" w:rsidP="001776B6">
      <w:pPr>
        <w:ind w:left="1134"/>
        <w:rPr>
          <w:rFonts w:ascii="Tahoma" w:hAnsi="Tahoma" w:cs="Tahoma"/>
          <w:sz w:val="20"/>
          <w:szCs w:val="20"/>
        </w:rPr>
      </w:pPr>
    </w:p>
    <w:p w:rsidR="001776B6" w:rsidRPr="001776B6" w:rsidRDefault="001776B6" w:rsidP="001776B6">
      <w:pPr>
        <w:pStyle w:val="Textoindependiente"/>
        <w:widowControl w:val="0"/>
        <w:numPr>
          <w:ilvl w:val="0"/>
          <w:numId w:val="4"/>
        </w:numPr>
        <w:suppressAutoHyphens/>
        <w:spacing w:after="0"/>
        <w:ind w:left="567" w:hanging="567"/>
        <w:jc w:val="both"/>
        <w:rPr>
          <w:rFonts w:ascii="Tahoma" w:hAnsi="Tahoma" w:cs="Tahoma"/>
          <w:sz w:val="20"/>
          <w:szCs w:val="20"/>
        </w:rPr>
      </w:pPr>
      <w:r w:rsidRPr="001776B6">
        <w:rPr>
          <w:rFonts w:ascii="Tahoma" w:hAnsi="Tahoma" w:cs="Tahoma"/>
          <w:sz w:val="20"/>
          <w:szCs w:val="20"/>
        </w:rPr>
        <w:t xml:space="preserve">En razón de lo expuesto, habiéndose acreditado que la Entidad requirió válidamente a la Contratista para que ejecute las prestaciones a su cargo, de acuerdo con el procedimiento previsto en el artículo 10.12 del Reglamento de Petroperú, corresponde a este Colegiado determinar si dicha conducta resultó justificada o no, en tanto que solamente el incumplimiento que obedece a causas injustificadas atribuibles a los contratistas es sancionable administrativamente, en estricta observancia del principio de tipicidad previsto </w:t>
      </w:r>
      <w:r w:rsidRPr="001776B6">
        <w:rPr>
          <w:rFonts w:ascii="Tahoma" w:hAnsi="Tahoma" w:cs="Tahoma"/>
          <w:sz w:val="20"/>
          <w:szCs w:val="20"/>
        </w:rPr>
        <w:lastRenderedPageBreak/>
        <w:t>en el artículo 230 de la Ley № 27444, del Procedimiento Administrativo General, en cuya virtud sólo constituyen conductas sancionables administrativamente las infracciones previstas expresamente en normas con rango de ley mediante su tipificación como tales, sin admitir interpretación extensiva o por analogía.</w:t>
      </w:r>
    </w:p>
    <w:p w:rsidR="001776B6" w:rsidRPr="001776B6" w:rsidRDefault="001776B6" w:rsidP="001776B6">
      <w:pPr>
        <w:pStyle w:val="Textoindependiente"/>
        <w:widowControl w:val="0"/>
        <w:suppressAutoHyphens/>
        <w:ind w:left="567"/>
        <w:rPr>
          <w:rFonts w:ascii="Tahoma" w:hAnsi="Tahoma" w:cs="Tahoma"/>
          <w:sz w:val="20"/>
          <w:szCs w:val="20"/>
        </w:rPr>
      </w:pPr>
    </w:p>
    <w:p w:rsidR="001776B6" w:rsidRPr="001776B6" w:rsidRDefault="001776B6" w:rsidP="001776B6">
      <w:pPr>
        <w:pStyle w:val="Textoindependiente"/>
        <w:widowControl w:val="0"/>
        <w:numPr>
          <w:ilvl w:val="0"/>
          <w:numId w:val="4"/>
        </w:numPr>
        <w:suppressAutoHyphens/>
        <w:spacing w:after="0"/>
        <w:ind w:left="567" w:hanging="567"/>
        <w:jc w:val="both"/>
        <w:rPr>
          <w:rFonts w:ascii="Tahoma" w:hAnsi="Tahoma" w:cs="Tahoma"/>
          <w:sz w:val="20"/>
          <w:szCs w:val="20"/>
        </w:rPr>
      </w:pPr>
      <w:r w:rsidRPr="001776B6">
        <w:rPr>
          <w:rFonts w:ascii="Tahoma" w:hAnsi="Tahoma" w:cs="Tahoma"/>
          <w:sz w:val="20"/>
          <w:szCs w:val="20"/>
        </w:rPr>
        <w:t>En consecuencia, corresponde a este colegiado determinar si la resolución del contrato se originó por causa imputable a la Contratista o no.</w:t>
      </w:r>
    </w:p>
    <w:p w:rsidR="001776B6" w:rsidRPr="001776B6" w:rsidRDefault="001776B6" w:rsidP="001776B6">
      <w:pPr>
        <w:pStyle w:val="Prrafodelista"/>
        <w:rPr>
          <w:rFonts w:ascii="Tahoma" w:hAnsi="Tahoma" w:cs="Tahoma"/>
        </w:rPr>
      </w:pPr>
    </w:p>
    <w:p w:rsidR="001776B6" w:rsidRPr="001776B6" w:rsidRDefault="001776B6" w:rsidP="001776B6">
      <w:pPr>
        <w:pStyle w:val="Prrafodelista"/>
        <w:numPr>
          <w:ilvl w:val="0"/>
          <w:numId w:val="4"/>
        </w:numPr>
        <w:ind w:left="567" w:hanging="567"/>
        <w:jc w:val="both"/>
        <w:rPr>
          <w:rFonts w:ascii="Tahoma" w:hAnsi="Tahoma" w:cs="Tahoma"/>
        </w:rPr>
      </w:pPr>
      <w:r w:rsidRPr="001776B6">
        <w:rPr>
          <w:rFonts w:ascii="Tahoma" w:hAnsi="Tahoma" w:cs="Tahoma"/>
        </w:rPr>
        <w:t>Al respecto, es importante señalar que según lo informado por la Entidad la Carta № TL-SPAD-ULOG-CO-085-2010 de fecha 15 de septiembre de 2010, la resolución de la orden de trabajo no fue discutida por la Contratista en vía de conciliación o arbitraje dentro de los plazos indicados en el artículo 170 del Reglamento, por lo que, en atención a lo dispuesto en la citada norma, la misma quedó consentida.</w:t>
      </w:r>
    </w:p>
    <w:p w:rsidR="001776B6" w:rsidRPr="001776B6" w:rsidRDefault="001776B6" w:rsidP="001776B6">
      <w:pPr>
        <w:pStyle w:val="Prrafodelista"/>
        <w:rPr>
          <w:rFonts w:ascii="Tahoma" w:hAnsi="Tahoma" w:cs="Tahoma"/>
        </w:rPr>
      </w:pPr>
    </w:p>
    <w:p w:rsidR="001776B6" w:rsidRPr="001776B6" w:rsidRDefault="001776B6" w:rsidP="001776B6">
      <w:pPr>
        <w:pStyle w:val="Prrafodelista"/>
        <w:numPr>
          <w:ilvl w:val="0"/>
          <w:numId w:val="4"/>
        </w:numPr>
        <w:ind w:left="567" w:hanging="567"/>
        <w:jc w:val="both"/>
        <w:rPr>
          <w:rFonts w:ascii="Tahoma" w:hAnsi="Tahoma" w:cs="Tahoma"/>
        </w:rPr>
      </w:pPr>
      <w:r w:rsidRPr="001776B6">
        <w:rPr>
          <w:rFonts w:ascii="Tahoma" w:hAnsi="Tahoma" w:cs="Tahoma"/>
        </w:rPr>
        <w:t>Así, pues, conforme a lo establecido en el artículo 49 de la Ley, los contratistas están obligados a cumplir cabalmente con lo ofrecido en su propuesta y en cualquier manifestación formal documentada, que hayan aportado adicionalmente en el curso del proceso de selección o en la formalización del contrato. En esta misma línea, el artículo 142 del Reglamento prevé que el contrato es obligatorio para las partes que lo suscriben.</w:t>
      </w:r>
    </w:p>
    <w:p w:rsidR="001776B6" w:rsidRPr="001776B6" w:rsidRDefault="001776B6" w:rsidP="001776B6">
      <w:pPr>
        <w:pStyle w:val="Prrafodelista"/>
        <w:rPr>
          <w:rFonts w:ascii="Tahoma" w:hAnsi="Tahoma" w:cs="Tahoma"/>
        </w:rPr>
      </w:pPr>
    </w:p>
    <w:p w:rsidR="001776B6" w:rsidRPr="001776B6" w:rsidRDefault="001776B6" w:rsidP="001776B6">
      <w:pPr>
        <w:pStyle w:val="Prrafodelista"/>
        <w:numPr>
          <w:ilvl w:val="0"/>
          <w:numId w:val="4"/>
        </w:numPr>
        <w:ind w:left="567" w:hanging="567"/>
        <w:jc w:val="both"/>
        <w:rPr>
          <w:rFonts w:ascii="Tahoma" w:hAnsi="Tahoma" w:cs="Tahoma"/>
        </w:rPr>
      </w:pPr>
      <w:r w:rsidRPr="001776B6">
        <w:rPr>
          <w:rFonts w:ascii="Tahoma" w:hAnsi="Tahoma" w:cs="Tahoma"/>
        </w:rPr>
        <w:t>En el presente caso, se desprende de los actuados que la Contratista, pese a haber tomado conocimiento de las observaciones planteadas por la Entidad, referidas al incumplimiento de sus obligaciones contractuales, no habría cumplido con ejecutar las prestaciones a su cargo con ocasión a la Orden de Trabajo de Terceros № 83071, hecho que ha desencadenado la resolución del mismo por causal atribuible a la Contratista.</w:t>
      </w:r>
    </w:p>
    <w:p w:rsidR="001776B6" w:rsidRPr="001776B6" w:rsidRDefault="001776B6" w:rsidP="001776B6">
      <w:pPr>
        <w:pStyle w:val="Prrafodelista"/>
        <w:rPr>
          <w:rFonts w:ascii="Tahoma" w:hAnsi="Tahoma" w:cs="Tahoma"/>
        </w:rPr>
      </w:pPr>
    </w:p>
    <w:p w:rsidR="001776B6" w:rsidRPr="001776B6" w:rsidRDefault="001776B6" w:rsidP="001776B6">
      <w:pPr>
        <w:pStyle w:val="Prrafodelista"/>
        <w:numPr>
          <w:ilvl w:val="0"/>
          <w:numId w:val="4"/>
        </w:numPr>
        <w:ind w:left="567" w:hanging="567"/>
        <w:jc w:val="both"/>
        <w:rPr>
          <w:rFonts w:ascii="Tahoma" w:hAnsi="Tahoma" w:cs="Tahoma"/>
        </w:rPr>
      </w:pPr>
      <w:r w:rsidRPr="001776B6">
        <w:rPr>
          <w:rFonts w:ascii="Tahoma" w:hAnsi="Tahoma" w:cs="Tahoma"/>
        </w:rPr>
        <w:t>Sobre el particular, en principio es pertinente tener en consideración que el plazo para la entrega del servicio fue establecido en el numeral 6 de las Bases Administrativas del proceso de selección, siendo que la Contratista ofertó que el servicio sería ejecutado en el plazo de 30 (treinta) días calendario.</w:t>
      </w:r>
    </w:p>
    <w:p w:rsidR="001776B6" w:rsidRPr="001776B6" w:rsidRDefault="001776B6" w:rsidP="001776B6">
      <w:pPr>
        <w:pStyle w:val="Sangradetextonormal"/>
        <w:tabs>
          <w:tab w:val="left" w:pos="540"/>
        </w:tabs>
        <w:spacing w:after="0"/>
        <w:jc w:val="both"/>
        <w:rPr>
          <w:rFonts w:ascii="Tahoma" w:hAnsi="Tahoma" w:cs="Tahoma"/>
          <w:sz w:val="20"/>
          <w:szCs w:val="20"/>
        </w:rPr>
      </w:pPr>
    </w:p>
    <w:p w:rsidR="001776B6" w:rsidRPr="001776B6" w:rsidRDefault="001776B6" w:rsidP="001776B6">
      <w:pPr>
        <w:pStyle w:val="Sangradetextonormal"/>
        <w:tabs>
          <w:tab w:val="left" w:pos="540"/>
        </w:tabs>
        <w:spacing w:after="0"/>
        <w:ind w:left="540"/>
        <w:jc w:val="both"/>
        <w:rPr>
          <w:rFonts w:ascii="Tahoma" w:hAnsi="Tahoma" w:cs="Tahoma"/>
          <w:sz w:val="20"/>
          <w:szCs w:val="20"/>
          <w:lang w:val="es-MX"/>
        </w:rPr>
      </w:pPr>
      <w:r w:rsidRPr="001776B6">
        <w:rPr>
          <w:rFonts w:ascii="Tahoma" w:hAnsi="Tahoma" w:cs="Tahoma"/>
          <w:sz w:val="20"/>
          <w:szCs w:val="20"/>
          <w:lang w:val="es-MX"/>
        </w:rPr>
        <w:t xml:space="preserve">De esta manera, en la referida orden de trabajo, </w:t>
      </w:r>
      <w:r w:rsidRPr="001776B6">
        <w:rPr>
          <w:rFonts w:ascii="Tahoma" w:hAnsi="Tahoma" w:cs="Tahoma"/>
          <w:sz w:val="20"/>
          <w:szCs w:val="20"/>
        </w:rPr>
        <w:t>se estableció como fecha de inicio de ejecución contractual el 09 de enero de 2010 y de término el 08 de febrero del mismo año</w:t>
      </w:r>
      <w:r w:rsidRPr="001776B6">
        <w:rPr>
          <w:rFonts w:ascii="Tahoma" w:hAnsi="Tahoma" w:cs="Tahoma"/>
          <w:sz w:val="20"/>
          <w:szCs w:val="20"/>
          <w:lang w:val="es-MX"/>
        </w:rPr>
        <w:t>. Dicho lo cual, es relevante señalar que en esta última fecha la Contratista no había cumplido con ejecutar sus prestaciones a su cargo, situación fáctica que es posible inferir de las comunicaciones cursadas por la Entidad a la Contratista, en las cuales ésta le requirió el cumplimiento de sus obligaciones.</w:t>
      </w:r>
    </w:p>
    <w:p w:rsidR="001776B6" w:rsidRPr="001776B6" w:rsidRDefault="001776B6" w:rsidP="001776B6">
      <w:pPr>
        <w:pStyle w:val="Sangradetextonormal"/>
        <w:tabs>
          <w:tab w:val="left" w:pos="540"/>
        </w:tabs>
        <w:spacing w:after="0"/>
        <w:ind w:left="540"/>
        <w:jc w:val="both"/>
        <w:rPr>
          <w:rFonts w:ascii="Tahoma" w:hAnsi="Tahoma" w:cs="Tahoma"/>
          <w:sz w:val="20"/>
          <w:szCs w:val="20"/>
          <w:lang w:val="es-MX"/>
        </w:rPr>
      </w:pPr>
    </w:p>
    <w:p w:rsidR="001776B6" w:rsidRPr="001776B6" w:rsidRDefault="001776B6" w:rsidP="001776B6">
      <w:pPr>
        <w:pStyle w:val="Sangradetextonormal"/>
        <w:tabs>
          <w:tab w:val="left" w:pos="540"/>
        </w:tabs>
        <w:spacing w:after="0"/>
        <w:ind w:left="540"/>
        <w:jc w:val="both"/>
        <w:rPr>
          <w:rFonts w:ascii="Tahoma" w:hAnsi="Tahoma" w:cs="Tahoma"/>
          <w:sz w:val="20"/>
          <w:szCs w:val="20"/>
          <w:lang w:val="es-MX"/>
        </w:rPr>
      </w:pPr>
      <w:r w:rsidRPr="001776B6">
        <w:rPr>
          <w:rFonts w:ascii="Tahoma" w:hAnsi="Tahoma" w:cs="Tahoma"/>
          <w:sz w:val="20"/>
          <w:szCs w:val="20"/>
        </w:rPr>
        <w:t>De lo antes expuesto, resulta lógico que sean los postores los únicos responsables de los términos consignados en su oferta presentado en el proceso de selección, por lo que su sola presentación los vincula jurídicamente, de modo que el eventual otorgamiento de la Buena Pro a favor del ganador y la consecuente suscripción contractual, obliga a esta último a cumplir con lo ofertado dentro del plazo señalado, para lo cual aquélla de manera diligente debe prever que dicha prestación se realice en las condiciones pactadas.</w:t>
      </w:r>
    </w:p>
    <w:p w:rsidR="001776B6" w:rsidRPr="001776B6" w:rsidRDefault="001776B6" w:rsidP="001776B6">
      <w:pPr>
        <w:pStyle w:val="Sangradetextonormal"/>
        <w:tabs>
          <w:tab w:val="num" w:pos="540"/>
          <w:tab w:val="left" w:pos="900"/>
        </w:tabs>
        <w:spacing w:after="0"/>
        <w:ind w:left="540"/>
        <w:jc w:val="both"/>
        <w:rPr>
          <w:rFonts w:ascii="Tahoma" w:hAnsi="Tahoma" w:cs="Tahoma"/>
          <w:sz w:val="20"/>
          <w:szCs w:val="20"/>
        </w:rPr>
      </w:pPr>
    </w:p>
    <w:p w:rsidR="001776B6" w:rsidRPr="001776B6" w:rsidRDefault="001776B6" w:rsidP="001776B6">
      <w:pPr>
        <w:pStyle w:val="Textoindependiente"/>
        <w:widowControl w:val="0"/>
        <w:numPr>
          <w:ilvl w:val="0"/>
          <w:numId w:val="4"/>
        </w:numPr>
        <w:suppressAutoHyphens/>
        <w:spacing w:after="0"/>
        <w:ind w:left="567" w:hanging="567"/>
        <w:jc w:val="both"/>
        <w:rPr>
          <w:rFonts w:ascii="Tahoma" w:hAnsi="Tahoma" w:cs="Tahoma"/>
          <w:sz w:val="20"/>
          <w:szCs w:val="20"/>
        </w:rPr>
      </w:pPr>
      <w:r w:rsidRPr="001776B6">
        <w:rPr>
          <w:rFonts w:ascii="Tahoma" w:hAnsi="Tahoma" w:cs="Tahoma"/>
          <w:sz w:val="20"/>
          <w:szCs w:val="20"/>
          <w:lang w:val="es-MX"/>
        </w:rPr>
        <w:t xml:space="preserve">Según se observa, queda claro que la obligación de la Contratista debería ser en óptimas </w:t>
      </w:r>
      <w:r w:rsidRPr="001776B6">
        <w:rPr>
          <w:rFonts w:ascii="Tahoma" w:hAnsi="Tahoma" w:cs="Tahoma"/>
          <w:sz w:val="20"/>
          <w:szCs w:val="20"/>
          <w:lang w:val="es-MX"/>
        </w:rPr>
        <w:lastRenderedPageBreak/>
        <w:t>condiciones y conforme al plazo estipulado, según se  desprende de los actuados en el expediente administrativo. Pese a ello, ha quedado acreditado en el presente caso que, a pesar de que la Entidad le brindo un plazo adicional a la Contratista para el cumplimiento de sus obligaciones contractuales, ésta no había cumplido con hacer efectivo el servicio de mantenimiento y reparación de vivienda H-5B del Condominio Punta Arenas.</w:t>
      </w:r>
    </w:p>
    <w:p w:rsidR="001776B6" w:rsidRPr="001776B6" w:rsidRDefault="001776B6" w:rsidP="001776B6">
      <w:pPr>
        <w:pStyle w:val="Textoindependiente"/>
        <w:widowControl w:val="0"/>
        <w:suppressAutoHyphens/>
        <w:ind w:left="567"/>
        <w:rPr>
          <w:rFonts w:ascii="Tahoma" w:hAnsi="Tahoma" w:cs="Tahoma"/>
          <w:sz w:val="20"/>
          <w:szCs w:val="20"/>
        </w:rPr>
      </w:pPr>
    </w:p>
    <w:p w:rsidR="001776B6" w:rsidRPr="001776B6" w:rsidRDefault="001776B6" w:rsidP="001776B6">
      <w:pPr>
        <w:pStyle w:val="Textoindependiente"/>
        <w:widowControl w:val="0"/>
        <w:numPr>
          <w:ilvl w:val="0"/>
          <w:numId w:val="4"/>
        </w:numPr>
        <w:suppressAutoHyphens/>
        <w:spacing w:after="0"/>
        <w:ind w:left="567" w:hanging="567"/>
        <w:jc w:val="both"/>
        <w:rPr>
          <w:rFonts w:ascii="Tahoma" w:hAnsi="Tahoma" w:cs="Tahoma"/>
          <w:sz w:val="20"/>
          <w:szCs w:val="20"/>
        </w:rPr>
      </w:pPr>
      <w:r w:rsidRPr="001776B6">
        <w:rPr>
          <w:rFonts w:ascii="Tahoma" w:hAnsi="Tahoma" w:cs="Tahoma"/>
          <w:sz w:val="20"/>
          <w:szCs w:val="20"/>
        </w:rPr>
        <w:t>Sobre la base de lo expuesto, en virtud al derecho de defensa que ampara al administrado, la Contratista no ha negado que su conducta este inmersa en infracción, toda vez que no ha presentado sus descargos a pesar de haber sido debidamente notificado mediante Cedula de Notificación № 1321/2011.TC., conforme obra en autos.</w:t>
      </w:r>
    </w:p>
    <w:p w:rsidR="001776B6" w:rsidRPr="001776B6" w:rsidRDefault="001776B6" w:rsidP="001776B6">
      <w:pPr>
        <w:pStyle w:val="Textoindependiente"/>
        <w:widowControl w:val="0"/>
        <w:suppressAutoHyphens/>
        <w:ind w:left="567"/>
        <w:rPr>
          <w:rFonts w:ascii="Tahoma" w:hAnsi="Tahoma" w:cs="Tahoma"/>
          <w:sz w:val="20"/>
          <w:szCs w:val="20"/>
        </w:rPr>
      </w:pPr>
    </w:p>
    <w:p w:rsidR="001776B6" w:rsidRPr="001776B6" w:rsidRDefault="001776B6" w:rsidP="001776B6">
      <w:pPr>
        <w:pStyle w:val="Textoindependiente"/>
        <w:widowControl w:val="0"/>
        <w:numPr>
          <w:ilvl w:val="0"/>
          <w:numId w:val="4"/>
        </w:numPr>
        <w:tabs>
          <w:tab w:val="num" w:pos="567"/>
        </w:tabs>
        <w:suppressAutoHyphens/>
        <w:spacing w:after="0"/>
        <w:ind w:left="567" w:hanging="567"/>
        <w:jc w:val="both"/>
        <w:rPr>
          <w:rFonts w:ascii="Tahoma" w:hAnsi="Tahoma" w:cs="Tahoma"/>
          <w:sz w:val="20"/>
          <w:szCs w:val="20"/>
        </w:rPr>
      </w:pPr>
      <w:r w:rsidRPr="001776B6">
        <w:rPr>
          <w:rFonts w:ascii="Tahoma" w:hAnsi="Tahoma" w:cs="Tahoma"/>
          <w:sz w:val="20"/>
          <w:szCs w:val="20"/>
        </w:rPr>
        <w:t>En esa medida, toda vez que la Contratista no ha presentado argumentos y/o documentación adicional que permitan justificar su incumplimiento y que adicionalmente no ha cuestionado la resolución del contrato en la vía correspondiente, se colige entonces que la Contratista ha incurrido en la causal de aplicación de sanción consistente en haber dado lugar a la resolución de la Orden de Trabajo de Terceros № 83071 de fecha 30 de noviembre de 2009, por causal atribuible a su parte.</w:t>
      </w:r>
    </w:p>
    <w:p w:rsidR="001776B6" w:rsidRPr="001776B6" w:rsidRDefault="001776B6" w:rsidP="001776B6">
      <w:pPr>
        <w:pStyle w:val="Textoindependiente"/>
        <w:widowControl w:val="0"/>
        <w:suppressAutoHyphens/>
        <w:ind w:left="567"/>
        <w:rPr>
          <w:rFonts w:ascii="Tahoma" w:hAnsi="Tahoma" w:cs="Tahoma"/>
          <w:sz w:val="20"/>
          <w:szCs w:val="20"/>
        </w:rPr>
      </w:pPr>
    </w:p>
    <w:p w:rsidR="001776B6" w:rsidRPr="001776B6" w:rsidRDefault="001776B6" w:rsidP="001776B6">
      <w:pPr>
        <w:pStyle w:val="Textoindependiente"/>
        <w:widowControl w:val="0"/>
        <w:numPr>
          <w:ilvl w:val="0"/>
          <w:numId w:val="4"/>
        </w:numPr>
        <w:tabs>
          <w:tab w:val="num" w:pos="567"/>
        </w:tabs>
        <w:suppressAutoHyphens/>
        <w:spacing w:after="0"/>
        <w:ind w:left="567" w:hanging="567"/>
        <w:jc w:val="both"/>
        <w:rPr>
          <w:rFonts w:ascii="Tahoma" w:hAnsi="Tahoma" w:cs="Tahoma"/>
          <w:sz w:val="20"/>
          <w:szCs w:val="20"/>
        </w:rPr>
      </w:pPr>
      <w:r w:rsidRPr="001776B6">
        <w:rPr>
          <w:rFonts w:ascii="Tahoma" w:hAnsi="Tahoma" w:cs="Tahoma"/>
          <w:sz w:val="20"/>
          <w:szCs w:val="20"/>
        </w:rPr>
        <w:t>Por lo tanto, en virtud a que la Contratista no ha acreditado que el incumplimiento de sus obligaciones contractuales, haya sido producto de caso fortuito o fuerza mayor, ni existen indicios que dicho incumplimiento se haya producido por causas imprevisibles ajenas a su voluntad o por causa atribuible a la Entidad, este Colegiado concluye que la resolución de la Orden de Trabajo de Terceros № 83071 de fecha 30 de noviembre de 2009</w:t>
      </w:r>
      <w:r w:rsidRPr="001776B6">
        <w:rPr>
          <w:rFonts w:ascii="Tahoma" w:hAnsi="Tahoma" w:cs="Tahoma"/>
          <w:sz w:val="20"/>
          <w:szCs w:val="20"/>
          <w:lang w:val="es-ES_tradnl"/>
        </w:rPr>
        <w:t xml:space="preserve"> </w:t>
      </w:r>
      <w:r w:rsidRPr="001776B6">
        <w:rPr>
          <w:rFonts w:ascii="Tahoma" w:hAnsi="Tahoma" w:cs="Tahoma"/>
          <w:sz w:val="20"/>
          <w:szCs w:val="20"/>
        </w:rPr>
        <w:t>resulta atribuible a la Contratista.</w:t>
      </w:r>
    </w:p>
    <w:p w:rsidR="001776B6" w:rsidRPr="001776B6" w:rsidRDefault="001776B6" w:rsidP="001776B6">
      <w:pPr>
        <w:pStyle w:val="Prrafodelista"/>
        <w:rPr>
          <w:rFonts w:ascii="Tahoma" w:hAnsi="Tahoma" w:cs="Tahoma"/>
          <w:lang w:val="es-PE"/>
        </w:rPr>
      </w:pPr>
    </w:p>
    <w:p w:rsidR="001776B6" w:rsidRPr="001776B6" w:rsidRDefault="001776B6" w:rsidP="00DA127C">
      <w:pPr>
        <w:pStyle w:val="Textoindependiente"/>
        <w:widowControl w:val="0"/>
        <w:suppressAutoHyphens/>
        <w:ind w:left="567"/>
        <w:jc w:val="both"/>
        <w:rPr>
          <w:rFonts w:ascii="Tahoma" w:hAnsi="Tahoma" w:cs="Tahoma"/>
          <w:sz w:val="20"/>
          <w:szCs w:val="20"/>
        </w:rPr>
      </w:pPr>
      <w:r w:rsidRPr="001776B6">
        <w:rPr>
          <w:rFonts w:ascii="Tahoma" w:hAnsi="Tahoma" w:cs="Tahoma"/>
          <w:sz w:val="20"/>
          <w:szCs w:val="20"/>
        </w:rPr>
        <w:t xml:space="preserve">Precisamente, en relación al caso fortuito o fuerza mayor, debe  señalarse que el Código Civil en su artículo 1315 establece que </w:t>
      </w:r>
      <w:r w:rsidRPr="001776B6">
        <w:rPr>
          <w:rFonts w:ascii="Tahoma" w:hAnsi="Tahoma" w:cs="Tahoma"/>
          <w:i/>
          <w:sz w:val="20"/>
          <w:szCs w:val="20"/>
        </w:rPr>
        <w:t xml:space="preserve">"(...) es la causa no imputable, consistente en un evento extraordinario, imprevisible e irresistible, que impide la ejecución de la obligación o determina su cumplimiento parcial, tardío o defectuoso". </w:t>
      </w:r>
      <w:r w:rsidRPr="001776B6">
        <w:rPr>
          <w:rFonts w:ascii="Tahoma" w:hAnsi="Tahoma" w:cs="Tahoma"/>
          <w:sz w:val="20"/>
          <w:szCs w:val="20"/>
        </w:rPr>
        <w:t>Es decir, que la norma contempla con tres características esenciales para la configuración del caso fortuito o fuerza mayor: la extraordinariedad, imprevisibilidad e irresistibilidad de un evento no imputable al deudor. Sobre dichos elementos, la doctrina efectuado las siguientes precisiones:</w:t>
      </w:r>
    </w:p>
    <w:p w:rsidR="001776B6" w:rsidRPr="001776B6" w:rsidRDefault="001776B6" w:rsidP="00DA127C">
      <w:pPr>
        <w:pStyle w:val="Sinespaciado"/>
        <w:ind w:left="567"/>
        <w:jc w:val="both"/>
        <w:rPr>
          <w:rFonts w:ascii="Tahoma" w:hAnsi="Tahoma" w:cs="Tahoma"/>
          <w:sz w:val="20"/>
          <w:szCs w:val="20"/>
          <w:lang w:val="es-PE"/>
        </w:rPr>
      </w:pPr>
    </w:p>
    <w:p w:rsidR="001776B6" w:rsidRPr="001776B6" w:rsidRDefault="001776B6" w:rsidP="00DA127C">
      <w:pPr>
        <w:pStyle w:val="Sinespaciado"/>
        <w:ind w:left="567"/>
        <w:jc w:val="both"/>
        <w:rPr>
          <w:rFonts w:ascii="Tahoma" w:hAnsi="Tahoma" w:cs="Tahoma"/>
          <w:i/>
          <w:sz w:val="20"/>
          <w:szCs w:val="20"/>
          <w:lang w:val="es-PE"/>
        </w:rPr>
      </w:pPr>
      <w:r w:rsidRPr="001776B6">
        <w:rPr>
          <w:rFonts w:ascii="Tahoma" w:hAnsi="Tahoma" w:cs="Tahoma"/>
          <w:sz w:val="20"/>
          <w:szCs w:val="20"/>
          <w:lang w:val="es-PE"/>
        </w:rPr>
        <w:t>"</w:t>
      </w:r>
      <w:r w:rsidRPr="001776B6">
        <w:rPr>
          <w:rFonts w:ascii="Tahoma" w:hAnsi="Tahoma" w:cs="Tahoma"/>
          <w:i/>
          <w:sz w:val="20"/>
          <w:szCs w:val="20"/>
          <w:lang w:val="es-PE"/>
        </w:rPr>
        <w:t>Acontecimiento extraordinario es todo aquél que sale de lo común, que no es usual.</w:t>
      </w:r>
    </w:p>
    <w:p w:rsidR="001776B6" w:rsidRPr="001776B6" w:rsidRDefault="001776B6" w:rsidP="00DA127C">
      <w:pPr>
        <w:pStyle w:val="Sinespaciado"/>
        <w:ind w:left="567"/>
        <w:jc w:val="both"/>
        <w:rPr>
          <w:rFonts w:ascii="Tahoma" w:hAnsi="Tahoma" w:cs="Tahoma"/>
          <w:i/>
          <w:sz w:val="20"/>
          <w:szCs w:val="20"/>
          <w:lang w:val="es-PE"/>
        </w:rPr>
      </w:pPr>
      <w:r w:rsidRPr="001776B6">
        <w:rPr>
          <w:rFonts w:ascii="Tahoma" w:hAnsi="Tahoma" w:cs="Tahoma"/>
          <w:i/>
          <w:sz w:val="20"/>
          <w:szCs w:val="20"/>
          <w:lang w:val="es-PE"/>
        </w:rPr>
        <w:t>(...)</w:t>
      </w:r>
    </w:p>
    <w:p w:rsidR="001776B6" w:rsidRPr="001776B6" w:rsidRDefault="001776B6" w:rsidP="00DA127C">
      <w:pPr>
        <w:pStyle w:val="Sinespaciado"/>
        <w:ind w:left="567"/>
        <w:jc w:val="both"/>
        <w:rPr>
          <w:rFonts w:ascii="Tahoma" w:hAnsi="Tahoma" w:cs="Tahoma"/>
          <w:i/>
          <w:sz w:val="20"/>
          <w:szCs w:val="20"/>
          <w:lang w:val="es-PE"/>
        </w:rPr>
      </w:pPr>
    </w:p>
    <w:p w:rsidR="001776B6" w:rsidRPr="001776B6" w:rsidRDefault="001776B6" w:rsidP="00DA127C">
      <w:pPr>
        <w:pStyle w:val="Sinespaciado"/>
        <w:ind w:left="567"/>
        <w:jc w:val="both"/>
        <w:rPr>
          <w:rFonts w:ascii="Tahoma" w:hAnsi="Tahoma" w:cs="Tahoma"/>
          <w:i/>
          <w:sz w:val="20"/>
          <w:szCs w:val="20"/>
          <w:lang w:val="es-PE"/>
        </w:rPr>
      </w:pPr>
      <w:r w:rsidRPr="001776B6">
        <w:rPr>
          <w:rFonts w:ascii="Tahoma" w:hAnsi="Tahoma" w:cs="Tahoma"/>
          <w:i/>
          <w:sz w:val="20"/>
          <w:szCs w:val="20"/>
          <w:lang w:val="es-PE"/>
        </w:rPr>
        <w:t>El requisito de la previsión se exige cuando el deudor no previó lo que debía, o cuando habiendo previsto el acontecimiento, se obliga a algo que presumiblemente iba a ser imposible. En ambos casos el acontecimiento es imputable al deudor, pues equivale a un hecho suyo.</w:t>
      </w:r>
    </w:p>
    <w:p w:rsidR="001776B6" w:rsidRPr="001776B6" w:rsidRDefault="001776B6" w:rsidP="00DA127C">
      <w:pPr>
        <w:pStyle w:val="Sinespaciado"/>
        <w:ind w:left="567"/>
        <w:jc w:val="both"/>
        <w:rPr>
          <w:rFonts w:ascii="Tahoma" w:hAnsi="Tahoma" w:cs="Tahoma"/>
          <w:i/>
          <w:sz w:val="20"/>
          <w:szCs w:val="20"/>
          <w:lang w:val="es-PE"/>
        </w:rPr>
      </w:pPr>
    </w:p>
    <w:p w:rsidR="001776B6" w:rsidRPr="001776B6" w:rsidRDefault="001776B6" w:rsidP="00DA127C">
      <w:pPr>
        <w:pStyle w:val="Sinespaciado"/>
        <w:ind w:left="567"/>
        <w:jc w:val="both"/>
        <w:rPr>
          <w:rFonts w:ascii="Tahoma" w:hAnsi="Tahoma" w:cs="Tahoma"/>
          <w:i/>
          <w:sz w:val="20"/>
          <w:szCs w:val="20"/>
          <w:lang w:val="es-PE"/>
        </w:rPr>
      </w:pPr>
      <w:r w:rsidRPr="001776B6">
        <w:rPr>
          <w:rFonts w:ascii="Tahoma" w:hAnsi="Tahoma" w:cs="Tahoma"/>
          <w:i/>
          <w:sz w:val="20"/>
          <w:szCs w:val="20"/>
          <w:lang w:val="es-PE"/>
        </w:rPr>
        <w:t>(...) La noción de imprevisibilidad se aprecia, pues, tomando en consideración todas las circunstancias de la obligación. La rareza, el carácter normal del evento, las remotas posibilidades de realización, configuran el caso fortuito o de fuerza mayor.</w:t>
      </w:r>
    </w:p>
    <w:p w:rsidR="001776B6" w:rsidRPr="001776B6" w:rsidRDefault="001776B6" w:rsidP="001776B6">
      <w:pPr>
        <w:pStyle w:val="Sinespaciado"/>
        <w:ind w:left="567"/>
        <w:jc w:val="both"/>
        <w:rPr>
          <w:rFonts w:ascii="Tahoma" w:hAnsi="Tahoma" w:cs="Tahoma"/>
          <w:i/>
          <w:sz w:val="20"/>
          <w:szCs w:val="20"/>
          <w:lang w:val="es-PE"/>
        </w:rPr>
      </w:pPr>
    </w:p>
    <w:p w:rsidR="001776B6" w:rsidRPr="001776B6" w:rsidRDefault="001776B6" w:rsidP="001776B6">
      <w:pPr>
        <w:pStyle w:val="Sinespaciado"/>
        <w:ind w:left="567"/>
        <w:jc w:val="both"/>
        <w:rPr>
          <w:rFonts w:ascii="Tahoma" w:hAnsi="Tahoma" w:cs="Tahoma"/>
          <w:sz w:val="20"/>
          <w:szCs w:val="20"/>
          <w:lang w:val="es-PE"/>
        </w:rPr>
      </w:pPr>
      <w:r w:rsidRPr="001776B6">
        <w:rPr>
          <w:rFonts w:ascii="Tahoma" w:hAnsi="Tahoma" w:cs="Tahoma"/>
          <w:i/>
          <w:sz w:val="20"/>
          <w:szCs w:val="20"/>
          <w:lang w:val="es-PE"/>
        </w:rPr>
        <w:lastRenderedPageBreak/>
        <w:t>El requisito de la irresistibilidad, por último, supone la imposibilidad de cumplimiento. La dificultad de cumplimiento no exonera al deudor, aun cuando la prestación se haya convertido en más onerosa de lo previsto. Tampoco interesa la situación personal del deudor; la ausencia de medios económicos para cumplir la obligación no tiene fuerza liberatoria</w:t>
      </w:r>
      <w:r w:rsidRPr="001776B6">
        <w:rPr>
          <w:rFonts w:ascii="Tahoma" w:hAnsi="Tahoma" w:cs="Tahoma"/>
          <w:sz w:val="20"/>
          <w:szCs w:val="20"/>
          <w:lang w:val="es-PE"/>
        </w:rPr>
        <w:t>" (Osterling Parodi, Felipe. Las Obligaciones. Lima: Fondo Editorial PUCP, 1988, pp. 199-200).</w:t>
      </w:r>
    </w:p>
    <w:p w:rsidR="001776B6" w:rsidRPr="001776B6" w:rsidRDefault="001776B6" w:rsidP="001776B6">
      <w:pPr>
        <w:pStyle w:val="Prrafodelista"/>
        <w:rPr>
          <w:rFonts w:ascii="Tahoma" w:hAnsi="Tahoma" w:cs="Tahoma"/>
        </w:rPr>
      </w:pPr>
    </w:p>
    <w:p w:rsidR="001776B6" w:rsidRPr="001776B6" w:rsidRDefault="001776B6" w:rsidP="001776B6">
      <w:pPr>
        <w:pStyle w:val="Prrafodelista"/>
        <w:widowControl w:val="0"/>
        <w:numPr>
          <w:ilvl w:val="0"/>
          <w:numId w:val="4"/>
        </w:numPr>
        <w:tabs>
          <w:tab w:val="num" w:pos="567"/>
        </w:tabs>
        <w:suppressAutoHyphens/>
        <w:ind w:left="567" w:hanging="567"/>
        <w:jc w:val="both"/>
        <w:rPr>
          <w:rFonts w:ascii="Tahoma" w:hAnsi="Tahoma" w:cs="Tahoma"/>
        </w:rPr>
      </w:pPr>
      <w:r w:rsidRPr="001776B6">
        <w:rPr>
          <w:rFonts w:ascii="Tahoma" w:hAnsi="Tahoma" w:cs="Tahoma"/>
        </w:rPr>
        <w:t>A ello debemos agregar que, en los casos de incumplimiento de obligaciones, existe la presunción legal establecida en el artículo 1329 del mismo Código Civil, según el cual aquél es producto de la falta de diligencia del deudor</w:t>
      </w:r>
      <w:r w:rsidRPr="001776B6">
        <w:rPr>
          <w:rStyle w:val="Refdenotaalpie"/>
          <w:rFonts w:ascii="Tahoma" w:hAnsi="Tahoma" w:cs="Tahoma"/>
        </w:rPr>
        <w:footnoteReference w:id="10"/>
      </w:r>
      <w:r w:rsidRPr="001776B6">
        <w:rPr>
          <w:rFonts w:ascii="Tahoma" w:hAnsi="Tahoma" w:cs="Tahoma"/>
        </w:rPr>
        <w:t xml:space="preserve">, lo que implica que es su deber demostrar lo contrario y acreditar que, pese a haber actuado con la diligencia ordinaria exigida por la naturaleza de la prestación, le fue imposible cumplirla. </w:t>
      </w:r>
    </w:p>
    <w:p w:rsidR="001776B6" w:rsidRPr="001776B6" w:rsidRDefault="001776B6" w:rsidP="001776B6">
      <w:pPr>
        <w:pStyle w:val="Prrafodelista"/>
        <w:rPr>
          <w:rFonts w:ascii="Tahoma" w:hAnsi="Tahoma" w:cs="Tahoma"/>
        </w:rPr>
      </w:pPr>
    </w:p>
    <w:p w:rsidR="001776B6" w:rsidRPr="001776B6" w:rsidRDefault="001776B6" w:rsidP="001776B6">
      <w:pPr>
        <w:pStyle w:val="Prrafodelista"/>
        <w:widowControl w:val="0"/>
        <w:numPr>
          <w:ilvl w:val="0"/>
          <w:numId w:val="4"/>
        </w:numPr>
        <w:tabs>
          <w:tab w:val="num" w:pos="567"/>
        </w:tabs>
        <w:suppressAutoHyphens/>
        <w:ind w:left="567" w:hanging="567"/>
        <w:jc w:val="both"/>
        <w:rPr>
          <w:rFonts w:ascii="Tahoma" w:hAnsi="Tahoma" w:cs="Tahoma"/>
        </w:rPr>
      </w:pPr>
      <w:r w:rsidRPr="001776B6">
        <w:rPr>
          <w:rFonts w:ascii="Tahoma" w:hAnsi="Tahoma" w:cs="Tahoma"/>
        </w:rPr>
        <w:t>Por las consideraciones expuestas, se desprende que la resolución de la Orden de Trabajo de Terceros № 83071 de fecha 30 de noviembre de 2009 estuvo motivada por causal atribuible a la Contratista, al no haber cumplido con prestar el servicio ofertado, por lo que el hecho imputado califica como infracción administrativa según la causal de imposición de sanción tipificada en el literal b) numeral 1 del artículo 237 del Reglamento, la cual se encuentra sancionada con inhabilitación temporal para ser postor y contratar con el Estado por un período no menor de uno (1) ni mayor de tres (3) años.</w:t>
      </w:r>
    </w:p>
    <w:p w:rsidR="001776B6" w:rsidRPr="001776B6" w:rsidRDefault="001776B6" w:rsidP="001776B6">
      <w:pPr>
        <w:pStyle w:val="Prrafodelista"/>
        <w:rPr>
          <w:rFonts w:ascii="Tahoma" w:hAnsi="Tahoma" w:cs="Tahoma"/>
        </w:rPr>
      </w:pPr>
    </w:p>
    <w:p w:rsidR="001776B6" w:rsidRPr="001776B6" w:rsidRDefault="001776B6" w:rsidP="001776B6">
      <w:pPr>
        <w:pStyle w:val="Prrafodelista"/>
        <w:numPr>
          <w:ilvl w:val="0"/>
          <w:numId w:val="4"/>
        </w:numPr>
        <w:ind w:left="567" w:hanging="567"/>
        <w:jc w:val="both"/>
        <w:rPr>
          <w:rFonts w:ascii="Tahoma" w:hAnsi="Tahoma" w:cs="Tahoma"/>
        </w:rPr>
      </w:pPr>
      <w:r w:rsidRPr="001776B6">
        <w:rPr>
          <w:rFonts w:ascii="Tahoma" w:hAnsi="Tahoma" w:cs="Tahoma"/>
        </w:rPr>
        <w:t>A efectos de graduar la sanción administrativa a imponerse, debe considerarse los criterios establecidos en el artículo 245 del Reglamento</w:t>
      </w:r>
      <w:r w:rsidRPr="001776B6">
        <w:rPr>
          <w:rStyle w:val="Refdenotaalpie"/>
          <w:rFonts w:ascii="Tahoma" w:hAnsi="Tahoma" w:cs="Tahoma"/>
        </w:rPr>
        <w:footnoteReference w:id="11"/>
      </w:r>
      <w:r w:rsidRPr="001776B6">
        <w:rPr>
          <w:rFonts w:ascii="Tahoma" w:hAnsi="Tahoma" w:cs="Tahoma"/>
        </w:rPr>
        <w:t>.</w:t>
      </w:r>
    </w:p>
    <w:p w:rsidR="001776B6" w:rsidRPr="001776B6" w:rsidRDefault="001776B6" w:rsidP="001776B6">
      <w:pPr>
        <w:pStyle w:val="Prrafodelista"/>
        <w:ind w:left="567"/>
        <w:rPr>
          <w:rFonts w:ascii="Tahoma" w:hAnsi="Tahoma" w:cs="Tahoma"/>
        </w:rPr>
      </w:pPr>
    </w:p>
    <w:p w:rsidR="001776B6" w:rsidRPr="001776B6" w:rsidRDefault="001776B6" w:rsidP="001776B6">
      <w:pPr>
        <w:pStyle w:val="Prrafodelista"/>
        <w:numPr>
          <w:ilvl w:val="0"/>
          <w:numId w:val="4"/>
        </w:numPr>
        <w:ind w:left="567" w:hanging="567"/>
        <w:jc w:val="both"/>
        <w:rPr>
          <w:rFonts w:ascii="Tahoma" w:hAnsi="Tahoma" w:cs="Tahoma"/>
        </w:rPr>
      </w:pPr>
      <w:r w:rsidRPr="001776B6">
        <w:rPr>
          <w:rFonts w:ascii="Tahoma" w:hAnsi="Tahoma" w:cs="Tahoma"/>
        </w:rPr>
        <w:t>En ese sentido, en relación con la naturaleza de la infracción cometida, es importante señalar que la conducta efectuada por la Contratista reviste de una considerable gravedad en la medida que desde el momento en que se asumió un compromiso contractual frente a la Entidad, aquélla se encontraba llamada a cumplir cabalmente con lo ofrecido, máxime si es conocido que ante un eventual incumplimiento se verían seriamente afectados intereses de carácter público así como retrasado el cumplimiento de las metas institucionales de la Entidad.</w:t>
      </w:r>
    </w:p>
    <w:p w:rsidR="001776B6" w:rsidRPr="001776B6" w:rsidRDefault="001776B6" w:rsidP="001776B6">
      <w:pPr>
        <w:pStyle w:val="Prrafodelista"/>
        <w:rPr>
          <w:rFonts w:ascii="Tahoma" w:hAnsi="Tahoma" w:cs="Tahoma"/>
        </w:rPr>
      </w:pPr>
    </w:p>
    <w:p w:rsidR="001776B6" w:rsidRPr="001776B6" w:rsidRDefault="001776B6" w:rsidP="001776B6">
      <w:pPr>
        <w:pStyle w:val="Prrafodelista"/>
        <w:numPr>
          <w:ilvl w:val="0"/>
          <w:numId w:val="4"/>
        </w:numPr>
        <w:ind w:left="567" w:hanging="567"/>
        <w:jc w:val="both"/>
        <w:rPr>
          <w:rFonts w:ascii="Tahoma" w:hAnsi="Tahoma" w:cs="Tahoma"/>
        </w:rPr>
      </w:pPr>
      <w:r w:rsidRPr="001776B6">
        <w:rPr>
          <w:rFonts w:ascii="Tahoma" w:hAnsi="Tahoma" w:cs="Tahoma"/>
        </w:rPr>
        <w:t xml:space="preserve">En igual sentido, en cuanto al criterio de intencionalidad del infractor, este Colegiado considera que en tanto, la conducta llevada a cabo por parte de la Contratista consistente </w:t>
      </w:r>
      <w:r w:rsidRPr="001776B6">
        <w:rPr>
          <w:rFonts w:ascii="Tahoma" w:hAnsi="Tahoma" w:cs="Tahoma"/>
        </w:rPr>
        <w:lastRenderedPageBreak/>
        <w:t>en la resolución del contrato (orden de trabajo), no permite a este Colegiado determinar la existencia de intencionalidad de su parte en la medida que no se ha evidenciado la consecución de un fin ulterior; no obstante lo cual, si resulta clara una falta de diligencia por parte de dicha Contratista, en el cumplimiento de sus obligaciones contractuales.</w:t>
      </w:r>
    </w:p>
    <w:p w:rsidR="001776B6" w:rsidRPr="001776B6" w:rsidRDefault="001776B6" w:rsidP="001776B6">
      <w:pPr>
        <w:pStyle w:val="Prrafodelista"/>
        <w:rPr>
          <w:rFonts w:ascii="Tahoma" w:hAnsi="Tahoma" w:cs="Tahoma"/>
        </w:rPr>
      </w:pPr>
    </w:p>
    <w:p w:rsidR="001776B6" w:rsidRPr="001776B6" w:rsidRDefault="001776B6" w:rsidP="001776B6">
      <w:pPr>
        <w:pStyle w:val="Prrafodelista"/>
        <w:numPr>
          <w:ilvl w:val="0"/>
          <w:numId w:val="4"/>
        </w:numPr>
        <w:ind w:left="567" w:hanging="567"/>
        <w:jc w:val="both"/>
        <w:rPr>
          <w:rFonts w:ascii="Tahoma" w:hAnsi="Tahoma" w:cs="Tahoma"/>
        </w:rPr>
      </w:pPr>
      <w:r w:rsidRPr="001776B6">
        <w:rPr>
          <w:rFonts w:ascii="Tahoma" w:hAnsi="Tahoma" w:cs="Tahoma"/>
        </w:rPr>
        <w:t>De esta manera, en lo que atañe al daño causado, es relevante tomar en cuenta, por un lado, la cuantía que subyace la Orden de Trabajo de Terceros № 83071, por el monto de S/. 13 310.66, y, por el otro, que su incumplimiento por parte de la Contratista generó un daño a la Entidad, causando el retraso en el cumplimiento de sus objetivos, el cual había sido programado y presupuestado con anticipación.</w:t>
      </w:r>
    </w:p>
    <w:p w:rsidR="001776B6" w:rsidRPr="001776B6" w:rsidRDefault="001776B6" w:rsidP="001776B6">
      <w:pPr>
        <w:pStyle w:val="Prrafodelista"/>
        <w:rPr>
          <w:rFonts w:ascii="Tahoma" w:hAnsi="Tahoma" w:cs="Tahoma"/>
        </w:rPr>
      </w:pPr>
    </w:p>
    <w:p w:rsidR="00DA127C" w:rsidRDefault="001776B6" w:rsidP="00DA127C">
      <w:pPr>
        <w:pStyle w:val="Prrafodelista"/>
        <w:numPr>
          <w:ilvl w:val="0"/>
          <w:numId w:val="4"/>
        </w:numPr>
        <w:ind w:left="567" w:hanging="567"/>
        <w:jc w:val="both"/>
        <w:rPr>
          <w:rFonts w:ascii="Tahoma" w:hAnsi="Tahoma" w:cs="Tahoma"/>
        </w:rPr>
      </w:pPr>
      <w:r w:rsidRPr="001776B6">
        <w:rPr>
          <w:rFonts w:ascii="Tahoma" w:hAnsi="Tahoma" w:cs="Tahoma"/>
        </w:rPr>
        <w:t>Sin perjuicio de lo anterior, respecto de las condiciones de la infractora y de su conducta procesal durante la sustanciación del presente procedimiento administrativo sancionador, abona a favor de la infractora la ausencia de antecedentes en la comisión de infracciones, así como que durante la sustanciación del presente procedimiento administrativo sancionador la Contratista no ha efectuado la presentación de sus descargos.</w:t>
      </w:r>
    </w:p>
    <w:p w:rsidR="00DA127C" w:rsidRPr="00DA127C" w:rsidRDefault="00DA127C" w:rsidP="00DA127C">
      <w:pPr>
        <w:pStyle w:val="Prrafodelista"/>
        <w:rPr>
          <w:rFonts w:ascii="Tahoma" w:hAnsi="Tahoma" w:cs="Tahoma"/>
        </w:rPr>
      </w:pPr>
    </w:p>
    <w:p w:rsidR="00E13E6B" w:rsidRPr="00DA127C" w:rsidRDefault="001776B6" w:rsidP="00DA127C">
      <w:pPr>
        <w:pStyle w:val="Prrafodelista"/>
        <w:numPr>
          <w:ilvl w:val="0"/>
          <w:numId w:val="4"/>
        </w:numPr>
        <w:ind w:left="567" w:hanging="567"/>
        <w:jc w:val="both"/>
        <w:rPr>
          <w:rFonts w:ascii="Tahoma" w:hAnsi="Tahoma" w:cs="Tahoma"/>
        </w:rPr>
      </w:pPr>
      <w:r w:rsidRPr="00DA127C">
        <w:rPr>
          <w:rFonts w:ascii="Tahoma" w:hAnsi="Tahoma" w:cs="Tahoma"/>
        </w:rPr>
        <w:t xml:space="preserve">Finalmente, resulta importante traer a colación el </w:t>
      </w:r>
      <w:r w:rsidRPr="00DA127C">
        <w:rPr>
          <w:rFonts w:ascii="Tahoma" w:hAnsi="Tahoma" w:cs="Tahoma"/>
          <w:i/>
        </w:rPr>
        <w:t>principio de razonabilidad</w:t>
      </w:r>
      <w:r w:rsidRPr="00DA127C">
        <w:rPr>
          <w:rFonts w:ascii="Tahoma" w:hAnsi="Tahoma" w:cs="Tahoma"/>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w:t>
      </w:r>
    </w:p>
    <w:p w:rsidR="001776B6" w:rsidRPr="001776B6" w:rsidRDefault="001776B6" w:rsidP="001776B6">
      <w:pPr>
        <w:pStyle w:val="Prrafodelista"/>
        <w:jc w:val="both"/>
        <w:rPr>
          <w:rFonts w:ascii="Tahoma" w:hAnsi="Tahoma" w:cs="Tahoma"/>
        </w:rPr>
      </w:pPr>
    </w:p>
    <w:p w:rsidR="00DA127C" w:rsidRPr="0087514B" w:rsidRDefault="00DA127C" w:rsidP="00DA127C">
      <w:pPr>
        <w:ind w:left="567" w:firstLine="567"/>
        <w:jc w:val="both"/>
        <w:rPr>
          <w:rFonts w:ascii="Tahoma" w:hAnsi="Tahoma" w:cs="Tahoma"/>
          <w:sz w:val="20"/>
          <w:szCs w:val="20"/>
        </w:rPr>
      </w:pPr>
      <w:r w:rsidRPr="0087514B">
        <w:rPr>
          <w:rFonts w:ascii="Tahoma" w:hAnsi="Tahoma" w:cs="Tahoma"/>
          <w:color w:val="000000"/>
          <w:sz w:val="20"/>
          <w:szCs w:val="20"/>
        </w:rPr>
        <w:t xml:space="preserve">Por estos fundamentos, de conformidad con el informe del Vocal Ponente </w:t>
      </w:r>
      <w:r w:rsidRPr="0087514B">
        <w:rPr>
          <w:rFonts w:ascii="Tahoma" w:hAnsi="Tahoma" w:cs="Tahoma"/>
          <w:sz w:val="20"/>
          <w:szCs w:val="20"/>
        </w:rPr>
        <w:t>Doctor Carlos Vicente Navas Rondón</w:t>
      </w:r>
      <w:r>
        <w:rPr>
          <w:rFonts w:ascii="Tahoma" w:hAnsi="Tahoma" w:cs="Tahoma"/>
          <w:color w:val="000000"/>
          <w:sz w:val="20"/>
          <w:szCs w:val="20"/>
        </w:rPr>
        <w:t xml:space="preserve"> y la intervención de la</w:t>
      </w:r>
      <w:r w:rsidRPr="0087514B">
        <w:rPr>
          <w:rFonts w:ascii="Tahoma" w:hAnsi="Tahoma" w:cs="Tahoma"/>
          <w:color w:val="000000"/>
          <w:sz w:val="20"/>
          <w:szCs w:val="20"/>
        </w:rPr>
        <w:t xml:space="preserve">s Vocales Dra. Janette Elke Ramírez Maynetto y Dra. Ada Basulto Liewald, y atendiendo a la reconformación de la </w:t>
      </w:r>
      <w:r>
        <w:rPr>
          <w:rFonts w:ascii="Tahoma" w:hAnsi="Tahoma" w:cs="Tahoma"/>
          <w:color w:val="000000"/>
          <w:sz w:val="20"/>
          <w:szCs w:val="20"/>
        </w:rPr>
        <w:t>Primera</w:t>
      </w:r>
      <w:r w:rsidRPr="0087514B">
        <w:rPr>
          <w:rFonts w:ascii="Tahoma" w:hAnsi="Tahoma" w:cs="Tahoma"/>
          <w:color w:val="000000"/>
          <w:sz w:val="20"/>
          <w:szCs w:val="20"/>
        </w:rPr>
        <w:t xml:space="preserve"> Sala del Tribunal de Contrataciones del Estado según lo dispuesto en la Resolución </w:t>
      </w:r>
      <w:r>
        <w:rPr>
          <w:rFonts w:ascii="Tahoma" w:hAnsi="Tahoma" w:cs="Tahoma"/>
          <w:color w:val="000000"/>
          <w:sz w:val="20"/>
          <w:szCs w:val="20"/>
        </w:rPr>
        <w:t>№</w:t>
      </w:r>
      <w:r w:rsidRPr="0087514B">
        <w:rPr>
          <w:rFonts w:ascii="Tahoma" w:hAnsi="Tahoma" w:cs="Tahoma"/>
          <w:color w:val="000000"/>
          <w:sz w:val="20"/>
          <w:szCs w:val="20"/>
        </w:rPr>
        <w:t xml:space="preserve">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E13E6B" w:rsidRPr="001776B6" w:rsidRDefault="00E13E6B" w:rsidP="00E13E6B">
      <w:pPr>
        <w:jc w:val="both"/>
        <w:rPr>
          <w:rFonts w:ascii="Tahoma" w:hAnsi="Tahoma" w:cs="Tahoma"/>
          <w:sz w:val="20"/>
          <w:szCs w:val="20"/>
        </w:rPr>
      </w:pPr>
    </w:p>
    <w:p w:rsidR="00E13E6B" w:rsidRPr="001776B6" w:rsidRDefault="00E13E6B" w:rsidP="00E13E6B">
      <w:pPr>
        <w:ind w:firstLine="567"/>
        <w:jc w:val="both"/>
        <w:rPr>
          <w:rFonts w:ascii="Tahoma" w:hAnsi="Tahoma" w:cs="Tahoma"/>
          <w:b/>
          <w:sz w:val="20"/>
          <w:szCs w:val="20"/>
        </w:rPr>
      </w:pPr>
      <w:r w:rsidRPr="001776B6">
        <w:rPr>
          <w:rFonts w:ascii="Tahoma" w:hAnsi="Tahoma" w:cs="Tahoma"/>
          <w:b/>
          <w:sz w:val="20"/>
          <w:szCs w:val="20"/>
        </w:rPr>
        <w:t xml:space="preserve">LA SALA RESUELVE: </w:t>
      </w:r>
    </w:p>
    <w:p w:rsidR="00E13E6B" w:rsidRPr="001776B6" w:rsidRDefault="00E13E6B" w:rsidP="00E13E6B">
      <w:pPr>
        <w:ind w:left="400"/>
        <w:jc w:val="both"/>
        <w:rPr>
          <w:rFonts w:ascii="Tahoma" w:hAnsi="Tahoma" w:cs="Tahoma"/>
          <w:snapToGrid w:val="0"/>
          <w:sz w:val="20"/>
          <w:szCs w:val="20"/>
        </w:rPr>
      </w:pPr>
    </w:p>
    <w:p w:rsidR="001776B6" w:rsidRPr="001776B6" w:rsidRDefault="001776B6" w:rsidP="001776B6">
      <w:pPr>
        <w:pStyle w:val="Textoindependiente2"/>
        <w:numPr>
          <w:ilvl w:val="0"/>
          <w:numId w:val="16"/>
        </w:numPr>
        <w:tabs>
          <w:tab w:val="clear" w:pos="8100"/>
          <w:tab w:val="num" w:pos="540"/>
        </w:tabs>
        <w:spacing w:after="0" w:line="240" w:lineRule="auto"/>
        <w:ind w:left="540" w:hanging="540"/>
        <w:jc w:val="both"/>
        <w:rPr>
          <w:rFonts w:ascii="Tahoma" w:hAnsi="Tahoma" w:cs="Tahoma"/>
          <w:sz w:val="20"/>
          <w:szCs w:val="20"/>
        </w:rPr>
      </w:pPr>
      <w:r w:rsidRPr="001776B6">
        <w:rPr>
          <w:rFonts w:ascii="Tahoma" w:hAnsi="Tahoma" w:cs="Tahoma"/>
          <w:sz w:val="20"/>
          <w:szCs w:val="20"/>
        </w:rPr>
        <w:t>Imponer a la señora LIA CHIRINOS VDA DE QUEREVALU sanción administrativa de inhabilitación temporal por el período de catorce (14) meses en sus derechos de participar en procesos de selección y contratar con el Estado, derivado de la Competencia Menor № 0300-2009-OTL/PETROPERÚ, por la comisión de la infracción tipificada en el numeral 51.1 literal b) del artículo 51 de la Ley en concordancia con el numeral 1 literal b) del artículo 237 del Reglamento, la cual entrará en vigencia a partir del sexto día hábil siguiente de su notificación.</w:t>
      </w:r>
    </w:p>
    <w:p w:rsidR="001776B6" w:rsidRPr="001776B6" w:rsidRDefault="001776B6" w:rsidP="001776B6">
      <w:pPr>
        <w:pStyle w:val="Textoindependiente2"/>
        <w:spacing w:after="0" w:line="240" w:lineRule="auto"/>
        <w:ind w:left="540"/>
        <w:jc w:val="both"/>
        <w:rPr>
          <w:rFonts w:ascii="Tahoma" w:hAnsi="Tahoma" w:cs="Tahoma"/>
          <w:sz w:val="20"/>
          <w:szCs w:val="20"/>
        </w:rPr>
      </w:pPr>
    </w:p>
    <w:p w:rsidR="001776B6" w:rsidRPr="001776B6" w:rsidRDefault="001776B6" w:rsidP="001776B6">
      <w:pPr>
        <w:pStyle w:val="Textoindependiente2"/>
        <w:numPr>
          <w:ilvl w:val="0"/>
          <w:numId w:val="16"/>
        </w:numPr>
        <w:tabs>
          <w:tab w:val="clear" w:pos="8100"/>
          <w:tab w:val="num" w:pos="540"/>
        </w:tabs>
        <w:spacing w:after="0" w:line="240" w:lineRule="auto"/>
        <w:ind w:left="540" w:hanging="540"/>
        <w:jc w:val="both"/>
        <w:rPr>
          <w:rFonts w:ascii="Tahoma" w:hAnsi="Tahoma" w:cs="Tahoma"/>
          <w:sz w:val="20"/>
          <w:szCs w:val="20"/>
        </w:rPr>
      </w:pPr>
      <w:r w:rsidRPr="001776B6">
        <w:rPr>
          <w:rFonts w:ascii="Tahoma" w:hAnsi="Tahoma" w:cs="Tahoma"/>
          <w:sz w:val="20"/>
          <w:szCs w:val="20"/>
        </w:rPr>
        <w:lastRenderedPageBreak/>
        <w:t>Poner la presente Resolución en conocimiento de la Subdirección del Registro Nacional de Proveedores del Organismo Supervisor de las Contrataciones del Estado (OSCE), para las anotaciones de ley.</w:t>
      </w:r>
    </w:p>
    <w:p w:rsidR="00E13E6B" w:rsidRPr="001776B6" w:rsidRDefault="00E13E6B" w:rsidP="00E13E6B">
      <w:pPr>
        <w:pStyle w:val="Prrafodelista"/>
        <w:jc w:val="both"/>
        <w:rPr>
          <w:rFonts w:ascii="Tahoma" w:hAnsi="Tahoma" w:cs="Tahoma"/>
        </w:rPr>
      </w:pPr>
    </w:p>
    <w:p w:rsidR="00E13E6B" w:rsidRPr="001776B6" w:rsidRDefault="00E13E6B" w:rsidP="00E13E6B">
      <w:pPr>
        <w:pStyle w:val="Textoindependiente21"/>
        <w:ind w:firstLine="360"/>
        <w:rPr>
          <w:rFonts w:cs="Tahoma"/>
          <w:sz w:val="20"/>
        </w:rPr>
      </w:pPr>
      <w:r w:rsidRPr="001776B6">
        <w:rPr>
          <w:rFonts w:cs="Tahoma"/>
          <w:sz w:val="20"/>
        </w:rPr>
        <w:t>Regístrese, comuníquese y publíquese.</w:t>
      </w:r>
    </w:p>
    <w:p w:rsidR="00E13E6B" w:rsidRPr="001776B6" w:rsidRDefault="00E13E6B" w:rsidP="00E13E6B">
      <w:pPr>
        <w:jc w:val="both"/>
        <w:rPr>
          <w:rFonts w:ascii="Tahoma" w:hAnsi="Tahoma" w:cs="Tahoma"/>
          <w:b/>
          <w:bCs/>
          <w:shadow/>
          <w:sz w:val="20"/>
          <w:szCs w:val="20"/>
        </w:rPr>
      </w:pPr>
    </w:p>
    <w:p w:rsidR="00A52C81" w:rsidRPr="001776B6" w:rsidRDefault="00A52C81" w:rsidP="00E13E6B">
      <w:pPr>
        <w:jc w:val="both"/>
        <w:rPr>
          <w:rFonts w:ascii="Tahoma" w:hAnsi="Tahoma" w:cs="Tahoma"/>
          <w:b/>
          <w:bCs/>
          <w:shadow/>
          <w:sz w:val="20"/>
          <w:szCs w:val="20"/>
        </w:rPr>
      </w:pPr>
    </w:p>
    <w:p w:rsidR="006E5BF8" w:rsidRDefault="006E5BF8" w:rsidP="00E13E6B">
      <w:pPr>
        <w:jc w:val="both"/>
        <w:rPr>
          <w:rFonts w:ascii="Tahoma" w:hAnsi="Tahoma" w:cs="Tahoma"/>
          <w:b/>
          <w:bCs/>
          <w:shadow/>
          <w:sz w:val="20"/>
          <w:szCs w:val="20"/>
        </w:rPr>
      </w:pPr>
    </w:p>
    <w:p w:rsidR="00DA127C" w:rsidRDefault="00DA127C" w:rsidP="00E13E6B">
      <w:pPr>
        <w:jc w:val="both"/>
        <w:rPr>
          <w:rFonts w:ascii="Tahoma" w:hAnsi="Tahoma" w:cs="Tahoma"/>
          <w:b/>
          <w:bCs/>
          <w:shadow/>
          <w:sz w:val="20"/>
          <w:szCs w:val="20"/>
        </w:rPr>
      </w:pPr>
    </w:p>
    <w:p w:rsidR="00DA127C" w:rsidRDefault="00DA127C" w:rsidP="00E13E6B">
      <w:pPr>
        <w:jc w:val="both"/>
        <w:rPr>
          <w:rFonts w:ascii="Tahoma" w:hAnsi="Tahoma" w:cs="Tahoma"/>
          <w:b/>
          <w:bCs/>
          <w:shadow/>
          <w:sz w:val="20"/>
          <w:szCs w:val="20"/>
        </w:rPr>
      </w:pPr>
    </w:p>
    <w:p w:rsidR="00DA127C" w:rsidRPr="001776B6" w:rsidRDefault="00DA127C" w:rsidP="00E13E6B">
      <w:pPr>
        <w:jc w:val="both"/>
        <w:rPr>
          <w:rFonts w:ascii="Tahoma" w:hAnsi="Tahoma" w:cs="Tahoma"/>
          <w:b/>
          <w:bCs/>
          <w:shadow/>
          <w:sz w:val="20"/>
          <w:szCs w:val="20"/>
        </w:rPr>
      </w:pPr>
    </w:p>
    <w:p w:rsidR="00EC4953" w:rsidRPr="001776B6" w:rsidRDefault="00EC4953" w:rsidP="00E13E6B">
      <w:pPr>
        <w:jc w:val="both"/>
        <w:rPr>
          <w:rFonts w:ascii="Tahoma" w:hAnsi="Tahoma" w:cs="Tahoma"/>
          <w:b/>
          <w:bCs/>
          <w:shadow/>
          <w:sz w:val="20"/>
          <w:szCs w:val="20"/>
        </w:rPr>
      </w:pPr>
    </w:p>
    <w:p w:rsidR="00E13E6B" w:rsidRPr="001776B6" w:rsidRDefault="00E13E6B" w:rsidP="00295C50">
      <w:pPr>
        <w:jc w:val="center"/>
        <w:rPr>
          <w:rFonts w:ascii="Tahoma" w:hAnsi="Tahoma" w:cs="Tahoma"/>
          <w:b/>
          <w:bCs/>
          <w:shadow/>
          <w:sz w:val="20"/>
          <w:szCs w:val="20"/>
        </w:rPr>
      </w:pPr>
      <w:r w:rsidRPr="001776B6">
        <w:rPr>
          <w:rFonts w:ascii="Tahoma" w:hAnsi="Tahoma" w:cs="Tahoma"/>
          <w:b/>
          <w:bCs/>
          <w:shadow/>
          <w:sz w:val="20"/>
          <w:szCs w:val="20"/>
        </w:rPr>
        <w:t>PRESIDENTE</w:t>
      </w:r>
    </w:p>
    <w:p w:rsidR="00E13E6B" w:rsidRPr="001776B6" w:rsidRDefault="00E13E6B" w:rsidP="00C5251B">
      <w:pPr>
        <w:jc w:val="center"/>
        <w:rPr>
          <w:rFonts w:ascii="Tahoma" w:hAnsi="Tahoma" w:cs="Tahoma"/>
          <w:b/>
          <w:bCs/>
          <w:shadow/>
          <w:sz w:val="20"/>
          <w:szCs w:val="20"/>
        </w:rPr>
      </w:pPr>
    </w:p>
    <w:p w:rsidR="00E13E6B" w:rsidRDefault="00E13E6B" w:rsidP="00C5251B">
      <w:pPr>
        <w:jc w:val="center"/>
        <w:rPr>
          <w:rFonts w:ascii="Tahoma" w:hAnsi="Tahoma" w:cs="Tahoma"/>
          <w:b/>
          <w:bCs/>
          <w:shadow/>
          <w:sz w:val="20"/>
          <w:szCs w:val="20"/>
        </w:rPr>
      </w:pPr>
    </w:p>
    <w:p w:rsidR="00DA127C" w:rsidRDefault="00DA127C" w:rsidP="00C5251B">
      <w:pPr>
        <w:jc w:val="center"/>
        <w:rPr>
          <w:rFonts w:ascii="Tahoma" w:hAnsi="Tahoma" w:cs="Tahoma"/>
          <w:b/>
          <w:bCs/>
          <w:shadow/>
          <w:sz w:val="20"/>
          <w:szCs w:val="20"/>
        </w:rPr>
      </w:pPr>
    </w:p>
    <w:p w:rsidR="00DA127C" w:rsidRPr="001776B6" w:rsidRDefault="00DA127C" w:rsidP="00C5251B">
      <w:pPr>
        <w:jc w:val="center"/>
        <w:rPr>
          <w:rFonts w:ascii="Tahoma" w:hAnsi="Tahoma" w:cs="Tahoma"/>
          <w:b/>
          <w:bCs/>
          <w:shadow/>
          <w:sz w:val="20"/>
          <w:szCs w:val="20"/>
        </w:rPr>
      </w:pPr>
    </w:p>
    <w:p w:rsidR="00E13E6B" w:rsidRPr="001776B6" w:rsidRDefault="00E13E6B" w:rsidP="00C5251B">
      <w:pPr>
        <w:jc w:val="center"/>
        <w:rPr>
          <w:rFonts w:ascii="Tahoma" w:hAnsi="Tahoma" w:cs="Tahoma"/>
          <w:b/>
          <w:bCs/>
          <w:shadow/>
          <w:sz w:val="20"/>
          <w:szCs w:val="20"/>
        </w:rPr>
      </w:pPr>
    </w:p>
    <w:p w:rsidR="00E13E6B" w:rsidRPr="001776B6" w:rsidRDefault="00E13E6B" w:rsidP="00C5251B">
      <w:pPr>
        <w:jc w:val="center"/>
        <w:rPr>
          <w:rFonts w:ascii="Tahoma" w:hAnsi="Tahoma" w:cs="Tahoma"/>
          <w:b/>
          <w:shadow/>
          <w:sz w:val="20"/>
          <w:szCs w:val="20"/>
        </w:rPr>
      </w:pPr>
      <w:r w:rsidRPr="001776B6">
        <w:rPr>
          <w:rFonts w:ascii="Tahoma" w:hAnsi="Tahoma" w:cs="Tahoma"/>
          <w:b/>
          <w:shadow/>
          <w:sz w:val="20"/>
          <w:szCs w:val="20"/>
        </w:rPr>
        <w:t xml:space="preserve">VOCAL           </w:t>
      </w:r>
      <w:r w:rsidRPr="001776B6">
        <w:rPr>
          <w:rFonts w:ascii="Tahoma" w:hAnsi="Tahoma" w:cs="Tahoma"/>
          <w:b/>
          <w:shadow/>
          <w:sz w:val="20"/>
          <w:szCs w:val="20"/>
        </w:rPr>
        <w:tab/>
      </w:r>
      <w:r w:rsidRPr="001776B6">
        <w:rPr>
          <w:rFonts w:ascii="Tahoma" w:hAnsi="Tahoma" w:cs="Tahoma"/>
          <w:b/>
          <w:shadow/>
          <w:sz w:val="20"/>
          <w:szCs w:val="20"/>
        </w:rPr>
        <w:tab/>
        <w:t xml:space="preserve">                                                                VOCAL</w:t>
      </w:r>
    </w:p>
    <w:p w:rsidR="00635F2E" w:rsidRPr="001776B6" w:rsidRDefault="00635F2E" w:rsidP="00E13E6B">
      <w:pPr>
        <w:jc w:val="both"/>
        <w:rPr>
          <w:rFonts w:ascii="Tahoma" w:hAnsi="Tahoma" w:cs="Tahoma"/>
          <w:sz w:val="20"/>
          <w:szCs w:val="20"/>
        </w:rPr>
      </w:pPr>
    </w:p>
    <w:p w:rsidR="00635F2E" w:rsidRPr="001776B6" w:rsidRDefault="00635F2E" w:rsidP="00E13E6B">
      <w:pPr>
        <w:jc w:val="both"/>
        <w:rPr>
          <w:rFonts w:ascii="Tahoma" w:hAnsi="Tahoma" w:cs="Tahoma"/>
          <w:sz w:val="20"/>
          <w:szCs w:val="20"/>
        </w:rPr>
      </w:pPr>
    </w:p>
    <w:p w:rsidR="00635F2E" w:rsidRPr="001776B6" w:rsidRDefault="00635F2E" w:rsidP="00E13E6B">
      <w:pPr>
        <w:jc w:val="both"/>
        <w:rPr>
          <w:rFonts w:ascii="Tahoma" w:hAnsi="Tahoma" w:cs="Tahoma"/>
          <w:sz w:val="20"/>
          <w:szCs w:val="20"/>
        </w:rPr>
      </w:pPr>
    </w:p>
    <w:p w:rsidR="00E13E6B" w:rsidRPr="001776B6" w:rsidRDefault="00E13E6B" w:rsidP="00E13E6B">
      <w:pPr>
        <w:jc w:val="both"/>
        <w:rPr>
          <w:rFonts w:ascii="Tahoma" w:hAnsi="Tahoma" w:cs="Tahoma"/>
          <w:sz w:val="20"/>
          <w:szCs w:val="20"/>
        </w:rPr>
      </w:pPr>
      <w:r w:rsidRPr="001776B6">
        <w:rPr>
          <w:rFonts w:ascii="Tahoma" w:hAnsi="Tahoma" w:cs="Tahoma"/>
          <w:sz w:val="20"/>
          <w:szCs w:val="20"/>
        </w:rPr>
        <w:t>ss.</w:t>
      </w:r>
    </w:p>
    <w:p w:rsidR="00351F6F" w:rsidRPr="0087514B" w:rsidRDefault="00351F6F" w:rsidP="00351F6F">
      <w:pPr>
        <w:jc w:val="both"/>
        <w:rPr>
          <w:rFonts w:ascii="Tahoma" w:hAnsi="Tahoma" w:cs="Tahoma"/>
          <w:sz w:val="20"/>
          <w:szCs w:val="20"/>
        </w:rPr>
      </w:pPr>
      <w:r w:rsidRPr="0087514B">
        <w:rPr>
          <w:rFonts w:ascii="Tahoma" w:hAnsi="Tahoma" w:cs="Tahoma"/>
          <w:sz w:val="20"/>
          <w:szCs w:val="20"/>
        </w:rPr>
        <w:t>Navas Rondón</w:t>
      </w:r>
    </w:p>
    <w:p w:rsidR="00351F6F" w:rsidRDefault="00351F6F" w:rsidP="00351F6F">
      <w:pPr>
        <w:jc w:val="both"/>
        <w:rPr>
          <w:rFonts w:ascii="Tahoma" w:hAnsi="Tahoma" w:cs="Tahoma"/>
          <w:color w:val="000000"/>
          <w:sz w:val="20"/>
          <w:szCs w:val="20"/>
        </w:rPr>
      </w:pPr>
      <w:r w:rsidRPr="0087514B">
        <w:rPr>
          <w:rFonts w:ascii="Tahoma" w:hAnsi="Tahoma" w:cs="Tahoma"/>
          <w:color w:val="000000"/>
          <w:sz w:val="20"/>
          <w:szCs w:val="20"/>
        </w:rPr>
        <w:t xml:space="preserve">Ramírez Maynetto </w:t>
      </w:r>
    </w:p>
    <w:p w:rsidR="00351F6F" w:rsidRPr="0087514B" w:rsidRDefault="00351F6F" w:rsidP="00351F6F">
      <w:pPr>
        <w:jc w:val="both"/>
        <w:rPr>
          <w:rFonts w:ascii="Tahoma" w:hAnsi="Tahoma" w:cs="Tahoma"/>
          <w:sz w:val="20"/>
          <w:szCs w:val="20"/>
        </w:rPr>
      </w:pPr>
      <w:r w:rsidRPr="0087514B">
        <w:rPr>
          <w:rFonts w:ascii="Tahoma" w:hAnsi="Tahoma" w:cs="Tahoma"/>
          <w:sz w:val="20"/>
          <w:szCs w:val="20"/>
        </w:rPr>
        <w:t>Basulto Liewald</w:t>
      </w:r>
      <w:r>
        <w:rPr>
          <w:rFonts w:ascii="Tahoma" w:hAnsi="Tahoma" w:cs="Tahoma"/>
          <w:sz w:val="20"/>
          <w:szCs w:val="20"/>
        </w:rPr>
        <w:t>.</w:t>
      </w:r>
    </w:p>
    <w:p w:rsidR="002C6D86" w:rsidRPr="001776B6" w:rsidRDefault="00805EC7" w:rsidP="00351F6F">
      <w:pPr>
        <w:jc w:val="both"/>
        <w:rPr>
          <w:rFonts w:ascii="Tahoma" w:hAnsi="Tahoma" w:cs="Tahoma"/>
          <w:sz w:val="20"/>
          <w:szCs w:val="20"/>
        </w:rPr>
      </w:pPr>
    </w:p>
    <w:sectPr w:rsidR="002C6D86" w:rsidRPr="001776B6" w:rsidSect="009E0365">
      <w:headerReference w:type="default" r:id="rId7"/>
      <w:footerReference w:type="default" r:id="rId8"/>
      <w:pgSz w:w="11906" w:h="16838"/>
      <w:pgMar w:top="3345" w:right="1644" w:bottom="1644" w:left="1644" w:header="709" w:footer="1298" w:gutter="0"/>
      <w:pgBorders w:offsetFrom="page">
        <w:top w:val="single" w:sz="4" w:space="24" w:color="FFFFFF"/>
        <w:left w:val="single" w:sz="4" w:space="24" w:color="FFFFFF"/>
        <w:bottom w:val="single" w:sz="4" w:space="24" w:color="FFFFFF"/>
        <w:right w:val="single" w:sz="4" w:space="24" w:color="FFFF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5EC7" w:rsidRDefault="00805EC7" w:rsidP="00E13E6B">
      <w:r>
        <w:separator/>
      </w:r>
    </w:p>
  </w:endnote>
  <w:endnote w:type="continuationSeparator" w:id="1">
    <w:p w:rsidR="00805EC7" w:rsidRDefault="00805EC7" w:rsidP="00E13E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6F0" w:rsidRDefault="00805EC7" w:rsidP="00E066F0">
    <w:pPr>
      <w:pStyle w:val="Piedepgina"/>
      <w:jc w:val="center"/>
    </w:pPr>
  </w:p>
  <w:p w:rsidR="00E066F0" w:rsidRDefault="005B0EEA" w:rsidP="00E066F0">
    <w:pPr>
      <w:pStyle w:val="Piedepgina"/>
      <w:jc w:val="center"/>
    </w:pPr>
    <w:r>
      <w:t xml:space="preserve">Página </w:t>
    </w:r>
    <w:r w:rsidR="00773E12">
      <w:fldChar w:fldCharType="begin"/>
    </w:r>
    <w:r>
      <w:instrText>PAGE</w:instrText>
    </w:r>
    <w:r w:rsidR="00773E12">
      <w:fldChar w:fldCharType="separate"/>
    </w:r>
    <w:r w:rsidR="0053204C">
      <w:rPr>
        <w:noProof/>
      </w:rPr>
      <w:t>1</w:t>
    </w:r>
    <w:r w:rsidR="00773E12">
      <w:fldChar w:fldCharType="end"/>
    </w:r>
    <w:r w:rsidRPr="006214E4">
      <w:t xml:space="preserve"> de </w:t>
    </w:r>
    <w:r w:rsidR="00773E12">
      <w:fldChar w:fldCharType="begin"/>
    </w:r>
    <w:r>
      <w:instrText>NUMPAGES</w:instrText>
    </w:r>
    <w:r w:rsidR="00773E12">
      <w:fldChar w:fldCharType="separate"/>
    </w:r>
    <w:r w:rsidR="0053204C">
      <w:rPr>
        <w:noProof/>
      </w:rPr>
      <w:t>10</w:t>
    </w:r>
    <w:r w:rsidR="00773E12">
      <w:fldChar w:fldCharType="end"/>
    </w:r>
  </w:p>
  <w:p w:rsidR="00E066F0" w:rsidRPr="00223795" w:rsidRDefault="00805EC7" w:rsidP="00E066F0">
    <w:pPr>
      <w:pStyle w:val="Piedepgina"/>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5EC7" w:rsidRDefault="00805EC7" w:rsidP="00E13E6B">
      <w:r>
        <w:separator/>
      </w:r>
    </w:p>
  </w:footnote>
  <w:footnote w:type="continuationSeparator" w:id="1">
    <w:p w:rsidR="00805EC7" w:rsidRDefault="00805EC7" w:rsidP="00E13E6B">
      <w:r>
        <w:continuationSeparator/>
      </w:r>
    </w:p>
  </w:footnote>
  <w:footnote w:id="2">
    <w:p w:rsidR="001776B6" w:rsidRDefault="001776B6" w:rsidP="001776B6">
      <w:pPr>
        <w:pStyle w:val="Textonotapie"/>
        <w:rPr>
          <w:i/>
          <w:sz w:val="18"/>
          <w:szCs w:val="18"/>
        </w:rPr>
      </w:pPr>
      <w:r>
        <w:rPr>
          <w:rStyle w:val="Refdenotaalpie"/>
          <w:i/>
          <w:sz w:val="18"/>
          <w:szCs w:val="18"/>
        </w:rPr>
        <w:footnoteRef/>
      </w:r>
      <w:r>
        <w:rPr>
          <w:i/>
          <w:sz w:val="18"/>
          <w:szCs w:val="18"/>
        </w:rPr>
        <w:t xml:space="preserve"> Publicada el 23 de julio de 2006.</w:t>
      </w:r>
    </w:p>
  </w:footnote>
  <w:footnote w:id="3">
    <w:p w:rsidR="001776B6" w:rsidRDefault="001776B6" w:rsidP="001776B6">
      <w:pPr>
        <w:pStyle w:val="Textonotapie"/>
        <w:rPr>
          <w:i/>
          <w:sz w:val="18"/>
          <w:szCs w:val="18"/>
        </w:rPr>
      </w:pPr>
      <w:r>
        <w:rPr>
          <w:rStyle w:val="Refdenotaalpie"/>
          <w:i/>
          <w:sz w:val="18"/>
          <w:szCs w:val="18"/>
        </w:rPr>
        <w:footnoteRef/>
      </w:r>
      <w:r>
        <w:rPr>
          <w:i/>
          <w:sz w:val="18"/>
          <w:szCs w:val="18"/>
        </w:rPr>
        <w:t xml:space="preserve"> Publicada el 29 de octubre de 2006.</w:t>
      </w:r>
    </w:p>
  </w:footnote>
  <w:footnote w:id="4">
    <w:p w:rsidR="001776B6" w:rsidRDefault="001776B6" w:rsidP="001776B6">
      <w:pPr>
        <w:pStyle w:val="Textonotapie"/>
        <w:rPr>
          <w:i/>
          <w:sz w:val="18"/>
          <w:szCs w:val="18"/>
        </w:rPr>
      </w:pPr>
      <w:r>
        <w:rPr>
          <w:rStyle w:val="Refdenotaalpie"/>
          <w:i/>
          <w:sz w:val="18"/>
          <w:szCs w:val="18"/>
        </w:rPr>
        <w:footnoteRef/>
      </w:r>
      <w:r>
        <w:rPr>
          <w:i/>
          <w:sz w:val="18"/>
          <w:szCs w:val="18"/>
        </w:rPr>
        <w:t xml:space="preserve"> Publicada el 12 de abril de 2008.</w:t>
      </w:r>
    </w:p>
  </w:footnote>
  <w:footnote w:id="5">
    <w:p w:rsidR="001776B6" w:rsidRPr="003F6358" w:rsidRDefault="001776B6" w:rsidP="001776B6">
      <w:pPr>
        <w:pStyle w:val="Textonotapie"/>
        <w:rPr>
          <w:rFonts w:cs="Tahoma"/>
          <w:sz w:val="16"/>
          <w:szCs w:val="16"/>
        </w:rPr>
      </w:pPr>
      <w:r w:rsidRPr="003F6358">
        <w:rPr>
          <w:rStyle w:val="Refdenotaalpie"/>
          <w:rFonts w:cs="Tahoma"/>
          <w:sz w:val="16"/>
          <w:szCs w:val="16"/>
        </w:rPr>
        <w:footnoteRef/>
      </w:r>
      <w:r w:rsidRPr="003F6358">
        <w:rPr>
          <w:rFonts w:cs="Tahoma"/>
          <w:sz w:val="16"/>
          <w:szCs w:val="16"/>
        </w:rPr>
        <w:t xml:space="preserve"> Téngase presente que dicho cuerpo normativo fue derogado por Decreto Legislativo N.1017, que aprobó la Ley de Contrataciones y Adquisiciones del Estado.</w:t>
      </w:r>
    </w:p>
  </w:footnote>
  <w:footnote w:id="6">
    <w:p w:rsidR="001776B6" w:rsidRPr="003F6358" w:rsidRDefault="001776B6" w:rsidP="001776B6">
      <w:pPr>
        <w:pStyle w:val="Textonotapie"/>
        <w:rPr>
          <w:rFonts w:cs="Tahoma"/>
          <w:sz w:val="16"/>
          <w:szCs w:val="16"/>
        </w:rPr>
      </w:pPr>
      <w:r w:rsidRPr="003F6358">
        <w:rPr>
          <w:rStyle w:val="Refdenotaalpie"/>
          <w:rFonts w:cs="Tahoma"/>
          <w:sz w:val="16"/>
          <w:szCs w:val="16"/>
        </w:rPr>
        <w:footnoteRef/>
      </w:r>
      <w:r w:rsidRPr="003F6358">
        <w:rPr>
          <w:rFonts w:cs="Tahoma"/>
          <w:sz w:val="16"/>
          <w:szCs w:val="16"/>
        </w:rPr>
        <w:t xml:space="preserve"> Actualmente Sistema Electrónico de Contrataciones del Estado.</w:t>
      </w:r>
    </w:p>
  </w:footnote>
  <w:footnote w:id="7">
    <w:p w:rsidR="001776B6" w:rsidRPr="003F6358" w:rsidRDefault="001776B6" w:rsidP="001776B6">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ahoma"/>
          <w:b/>
          <w:sz w:val="16"/>
          <w:szCs w:val="16"/>
          <w:lang w:val="es-ES_tradnl"/>
        </w:rPr>
      </w:pPr>
      <w:r w:rsidRPr="003F6358">
        <w:rPr>
          <w:rStyle w:val="Refdenotaalpie"/>
          <w:rFonts w:cs="Tahoma"/>
          <w:sz w:val="16"/>
          <w:szCs w:val="16"/>
        </w:rPr>
        <w:footnoteRef/>
      </w:r>
      <w:r w:rsidRPr="003F6358">
        <w:rPr>
          <w:rFonts w:cs="Tahoma"/>
          <w:sz w:val="16"/>
          <w:szCs w:val="16"/>
        </w:rPr>
        <w:t xml:space="preserve"> </w:t>
      </w:r>
      <w:r w:rsidRPr="003F6358">
        <w:rPr>
          <w:rFonts w:cs="Tahoma"/>
          <w:b/>
          <w:sz w:val="16"/>
          <w:szCs w:val="16"/>
          <w:lang w:val="es-ES_tradnl"/>
        </w:rPr>
        <w:t>Artículo 237.- Infracciones y sanciones administrativas</w:t>
      </w:r>
    </w:p>
    <w:p w:rsidR="001776B6" w:rsidRPr="003F6358" w:rsidRDefault="001776B6" w:rsidP="001776B6">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ahoma"/>
          <w:b/>
          <w:sz w:val="16"/>
          <w:szCs w:val="16"/>
          <w:lang w:val="es-ES_tradnl"/>
        </w:rPr>
      </w:pPr>
      <w:r w:rsidRPr="003F6358">
        <w:rPr>
          <w:rFonts w:cs="Tahoma"/>
          <w:b/>
          <w:sz w:val="16"/>
          <w:szCs w:val="16"/>
          <w:lang w:val="es-ES_tradnl"/>
        </w:rPr>
        <w:t>1.Infracciones</w:t>
      </w:r>
    </w:p>
    <w:p w:rsidR="001776B6" w:rsidRPr="003F6358" w:rsidRDefault="001776B6" w:rsidP="001776B6">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ahoma"/>
          <w:sz w:val="16"/>
          <w:szCs w:val="16"/>
          <w:lang w:val="es-ES_tradnl"/>
        </w:rPr>
      </w:pPr>
      <w:r w:rsidRPr="003F6358">
        <w:rPr>
          <w:rFonts w:cs="Tahoma"/>
          <w:sz w:val="16"/>
          <w:szCs w:val="16"/>
          <w:lang w:val="es-ES_tradnl"/>
        </w:rPr>
        <w:t>Se impondrá la sanción administrativa a los proveedores, participantes, postores y/o contratistas que:</w:t>
      </w:r>
    </w:p>
    <w:p w:rsidR="001776B6" w:rsidRPr="003F6358" w:rsidRDefault="001776B6" w:rsidP="001776B6">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ahoma"/>
          <w:sz w:val="16"/>
          <w:szCs w:val="16"/>
          <w:lang w:val="es-ES_tradnl"/>
        </w:rPr>
      </w:pPr>
      <w:r w:rsidRPr="003F6358">
        <w:rPr>
          <w:rFonts w:cs="Tahoma"/>
          <w:sz w:val="16"/>
          <w:szCs w:val="16"/>
          <w:lang w:val="es-ES_tradnl"/>
        </w:rPr>
        <w:t>[…]</w:t>
      </w:r>
    </w:p>
    <w:p w:rsidR="001776B6" w:rsidRPr="003F6358" w:rsidRDefault="001776B6" w:rsidP="001776B6">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ahoma"/>
          <w:sz w:val="16"/>
          <w:szCs w:val="16"/>
          <w:lang w:val="es-ES_tradnl"/>
        </w:rPr>
      </w:pPr>
      <w:r w:rsidRPr="003F6358">
        <w:rPr>
          <w:rFonts w:cs="Tahoma"/>
          <w:sz w:val="16"/>
          <w:szCs w:val="16"/>
          <w:lang w:val="es-ES_tradnl"/>
        </w:rPr>
        <w:t>b) Den lugar a la resolución del contrato, orden de compra o de servicios por causal atribuible a su parte.</w:t>
      </w:r>
    </w:p>
    <w:p w:rsidR="001776B6" w:rsidRPr="003F6358" w:rsidRDefault="001776B6" w:rsidP="001776B6">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ahoma"/>
          <w:sz w:val="16"/>
          <w:szCs w:val="16"/>
          <w:lang w:val="es-ES_tradnl"/>
        </w:rPr>
      </w:pPr>
    </w:p>
  </w:footnote>
  <w:footnote w:id="8">
    <w:p w:rsidR="001776B6" w:rsidRPr="00C529B6" w:rsidRDefault="001776B6" w:rsidP="001776B6">
      <w:pPr>
        <w:pStyle w:val="Textonotapie"/>
        <w:keepLines/>
        <w:rPr>
          <w:rFonts w:cs="Tahoma"/>
          <w:sz w:val="16"/>
          <w:szCs w:val="16"/>
        </w:rPr>
      </w:pPr>
      <w:r w:rsidRPr="00C529B6">
        <w:rPr>
          <w:rStyle w:val="Refdenotaalpie"/>
          <w:rFonts w:cs="Tahoma"/>
        </w:rPr>
        <w:footnoteRef/>
      </w:r>
      <w:r w:rsidRPr="00C529B6">
        <w:rPr>
          <w:rFonts w:cs="Tahoma"/>
          <w:sz w:val="16"/>
          <w:szCs w:val="16"/>
        </w:rPr>
        <w:t xml:space="preserve"> </w:t>
      </w:r>
      <w:r>
        <w:rPr>
          <w:rFonts w:cs="Tahoma"/>
          <w:b/>
          <w:sz w:val="16"/>
          <w:szCs w:val="16"/>
        </w:rPr>
        <w:t>Numeral 10.12 del Reglamento de PETROPERÚ</w:t>
      </w:r>
      <w:r w:rsidRPr="00C529B6">
        <w:rPr>
          <w:rFonts w:cs="Tahoma"/>
          <w:sz w:val="16"/>
          <w:szCs w:val="16"/>
        </w:rPr>
        <w:t xml:space="preserve"> </w:t>
      </w:r>
    </w:p>
    <w:p w:rsidR="001776B6" w:rsidRPr="00C529B6" w:rsidRDefault="001776B6" w:rsidP="001776B6">
      <w:pPr>
        <w:pStyle w:val="Textonotapie"/>
        <w:keepLines/>
        <w:rPr>
          <w:rFonts w:cs="Tahoma"/>
          <w:sz w:val="16"/>
          <w:szCs w:val="16"/>
        </w:rPr>
      </w:pPr>
      <w:r w:rsidRPr="00C529B6">
        <w:rPr>
          <w:rFonts w:cs="Tahoma"/>
          <w:sz w:val="16"/>
          <w:szCs w:val="16"/>
        </w:rPr>
        <w:t>Si alguna de las partes falta al cumplimiento de sus obligaciones, la parte perjudicada deberá requerirla mediante carta notarial para que las satisfaga en un plazo no mayor a cinco (5) días, bajo apercibimiento de resolver el contrato (…) Si vencido dicho plazo el incumplimiento continúa, la parte perjudicada resolverá el contrato en forma  total o parcial, mediante carta notarial […].</w:t>
      </w:r>
    </w:p>
    <w:p w:rsidR="001776B6" w:rsidRDefault="001776B6" w:rsidP="001776B6">
      <w:pPr>
        <w:pStyle w:val="Textonotapie"/>
        <w:rPr>
          <w:rFonts w:cs="Tahoma"/>
          <w:sz w:val="18"/>
          <w:szCs w:val="18"/>
        </w:rPr>
      </w:pPr>
    </w:p>
  </w:footnote>
  <w:footnote w:id="9">
    <w:p w:rsidR="001776B6" w:rsidRPr="00C12921" w:rsidRDefault="001776B6" w:rsidP="001776B6">
      <w:pPr>
        <w:pStyle w:val="Textonotapie"/>
        <w:rPr>
          <w:rFonts w:cs="Tahoma"/>
          <w:sz w:val="16"/>
          <w:szCs w:val="16"/>
        </w:rPr>
      </w:pPr>
      <w:r w:rsidRPr="00C12921">
        <w:rPr>
          <w:rStyle w:val="Refdenotaalpie"/>
          <w:rFonts w:cs="Tahoma"/>
          <w:sz w:val="16"/>
          <w:szCs w:val="16"/>
        </w:rPr>
        <w:footnoteRef/>
      </w:r>
      <w:r w:rsidRPr="00C12921">
        <w:rPr>
          <w:rFonts w:cs="Tahoma"/>
          <w:sz w:val="16"/>
          <w:szCs w:val="16"/>
        </w:rPr>
        <w:t xml:space="preserve"> Acuerdo dictado en el marco de los entonces vigentes Texto Único Ordenado de </w:t>
      </w:r>
      <w:smartTag w:uri="urn:schemas-microsoft-com:office:smarttags" w:element="PersonName">
        <w:smartTagPr>
          <w:attr w:name="ProductID" w:val="la Ley"/>
        </w:smartTagPr>
        <w:r w:rsidRPr="00C12921">
          <w:rPr>
            <w:rFonts w:cs="Tahoma"/>
            <w:sz w:val="16"/>
            <w:szCs w:val="16"/>
          </w:rPr>
          <w:t>la Ley</w:t>
        </w:r>
      </w:smartTag>
      <w:r w:rsidRPr="00C12921">
        <w:rPr>
          <w:rFonts w:cs="Tahoma"/>
          <w:sz w:val="16"/>
          <w:szCs w:val="16"/>
        </w:rPr>
        <w:t xml:space="preserve"> de Contrataciones y Adquisiciones del Estado, aprobado por Decreto Supremo № 012-2001-PCM, y su Reglamento, aprobado por Decreto Supremo № 013-2001-PCM, pero que resulta igualmente aplicable al caso de autos por referirse a la misma materia.</w:t>
      </w:r>
    </w:p>
    <w:p w:rsidR="001776B6" w:rsidRDefault="001776B6" w:rsidP="001776B6">
      <w:pPr>
        <w:pStyle w:val="Textonotapie"/>
        <w:rPr>
          <w:rFonts w:cs="Tahoma"/>
          <w:sz w:val="18"/>
          <w:szCs w:val="18"/>
        </w:rPr>
      </w:pPr>
    </w:p>
    <w:p w:rsidR="001776B6" w:rsidRPr="00CD30A1" w:rsidRDefault="001776B6" w:rsidP="001776B6">
      <w:pPr>
        <w:pStyle w:val="Textonotapie"/>
        <w:rPr>
          <w:rFonts w:cs="Tahoma"/>
          <w:sz w:val="18"/>
          <w:szCs w:val="18"/>
        </w:rPr>
      </w:pPr>
    </w:p>
  </w:footnote>
  <w:footnote w:id="10">
    <w:p w:rsidR="001776B6" w:rsidRPr="008A535F" w:rsidRDefault="001776B6" w:rsidP="001776B6">
      <w:pPr>
        <w:pStyle w:val="Textonotapie"/>
        <w:ind w:left="142" w:hanging="142"/>
        <w:rPr>
          <w:rFonts w:cs="Tahoma"/>
          <w:sz w:val="16"/>
          <w:szCs w:val="16"/>
        </w:rPr>
      </w:pPr>
      <w:r w:rsidRPr="008A535F">
        <w:rPr>
          <w:rStyle w:val="Refdenotaalpie"/>
          <w:rFonts w:cs="Tahoma"/>
          <w:i/>
          <w:sz w:val="16"/>
          <w:szCs w:val="16"/>
        </w:rPr>
        <w:footnoteRef/>
      </w:r>
      <w:r w:rsidRPr="008A535F">
        <w:rPr>
          <w:rFonts w:cs="Tahoma"/>
          <w:i/>
          <w:sz w:val="16"/>
          <w:szCs w:val="16"/>
        </w:rPr>
        <w:t xml:space="preserve"> </w:t>
      </w:r>
      <w:r w:rsidRPr="008A535F">
        <w:rPr>
          <w:rFonts w:cs="Tahoma"/>
          <w:b/>
          <w:sz w:val="16"/>
          <w:szCs w:val="16"/>
        </w:rPr>
        <w:t>Artículo 1329.-</w:t>
      </w:r>
      <w:r w:rsidRPr="008A535F">
        <w:rPr>
          <w:rFonts w:cs="Tahoma"/>
          <w:sz w:val="16"/>
          <w:szCs w:val="16"/>
        </w:rPr>
        <w:t xml:space="preserve"> Se presume que la inejecución de la obligación o su cumplimiento parcial, tardío o defectuoso obedece a culpa leve del deudor.</w:t>
      </w:r>
    </w:p>
    <w:p w:rsidR="001776B6" w:rsidRPr="008A535F" w:rsidRDefault="001776B6" w:rsidP="001776B6">
      <w:pPr>
        <w:pStyle w:val="Textonotapie"/>
        <w:ind w:left="142" w:hanging="142"/>
        <w:rPr>
          <w:rFonts w:cs="Tahoma"/>
          <w:sz w:val="16"/>
          <w:szCs w:val="16"/>
        </w:rPr>
      </w:pPr>
    </w:p>
  </w:footnote>
  <w:footnote w:id="11">
    <w:p w:rsidR="001776B6" w:rsidRPr="00DB2292" w:rsidRDefault="001776B6" w:rsidP="001776B6">
      <w:pPr>
        <w:pStyle w:val="Textonotapie"/>
        <w:rPr>
          <w:b/>
          <w:sz w:val="16"/>
          <w:szCs w:val="16"/>
        </w:rPr>
      </w:pPr>
      <w:r w:rsidRPr="00DB2292">
        <w:rPr>
          <w:rStyle w:val="Refdenotaalpie"/>
          <w:rFonts w:cs="Tahoma"/>
          <w:sz w:val="16"/>
          <w:szCs w:val="16"/>
        </w:rPr>
        <w:footnoteRef/>
      </w:r>
      <w:r w:rsidRPr="00DB2292">
        <w:rPr>
          <w:rFonts w:cs="Tahoma"/>
          <w:sz w:val="16"/>
          <w:szCs w:val="16"/>
        </w:rPr>
        <w:t xml:space="preserve"> </w:t>
      </w:r>
      <w:r w:rsidRPr="00DB2292">
        <w:rPr>
          <w:b/>
          <w:sz w:val="16"/>
          <w:szCs w:val="16"/>
        </w:rPr>
        <w:t>Artículo 245.- Determinación gradual de la sanción.-</w:t>
      </w:r>
    </w:p>
    <w:p w:rsidR="001776B6" w:rsidRPr="00DB2292" w:rsidRDefault="001776B6" w:rsidP="001776B6">
      <w:pPr>
        <w:pStyle w:val="Textonotapie"/>
        <w:rPr>
          <w:sz w:val="16"/>
          <w:szCs w:val="16"/>
        </w:rPr>
      </w:pPr>
      <w:r w:rsidRPr="00DB2292">
        <w:rPr>
          <w:sz w:val="16"/>
          <w:szCs w:val="16"/>
        </w:rPr>
        <w:t xml:space="preserve"> Para graduar la sanción de inhabilitación temporal a imponerse conforme a las disposiciones del presente Titulo, el Tribunal considerará los siguientes criterios: </w:t>
      </w:r>
    </w:p>
    <w:p w:rsidR="001776B6" w:rsidRPr="00DB2292" w:rsidRDefault="001776B6" w:rsidP="001776B6">
      <w:pPr>
        <w:pStyle w:val="Textonotapie"/>
        <w:numPr>
          <w:ilvl w:val="0"/>
          <w:numId w:val="14"/>
        </w:numPr>
        <w:rPr>
          <w:sz w:val="16"/>
          <w:szCs w:val="16"/>
        </w:rPr>
      </w:pPr>
      <w:r w:rsidRPr="00DB2292">
        <w:rPr>
          <w:sz w:val="16"/>
          <w:szCs w:val="16"/>
        </w:rPr>
        <w:t>Naturaleza de la infracción.</w:t>
      </w:r>
    </w:p>
    <w:p w:rsidR="001776B6" w:rsidRPr="00DB2292" w:rsidRDefault="001776B6" w:rsidP="001776B6">
      <w:pPr>
        <w:pStyle w:val="Textonotapie"/>
        <w:numPr>
          <w:ilvl w:val="0"/>
          <w:numId w:val="14"/>
        </w:numPr>
        <w:rPr>
          <w:sz w:val="16"/>
          <w:szCs w:val="16"/>
        </w:rPr>
      </w:pPr>
      <w:r w:rsidRPr="00DB2292">
        <w:rPr>
          <w:sz w:val="16"/>
          <w:szCs w:val="16"/>
        </w:rPr>
        <w:t>Intencionalidad del infractor.</w:t>
      </w:r>
    </w:p>
    <w:p w:rsidR="001776B6" w:rsidRPr="00DB2292" w:rsidRDefault="001776B6" w:rsidP="001776B6">
      <w:pPr>
        <w:pStyle w:val="Textonotapie"/>
        <w:numPr>
          <w:ilvl w:val="0"/>
          <w:numId w:val="14"/>
        </w:numPr>
        <w:rPr>
          <w:b/>
          <w:sz w:val="16"/>
          <w:szCs w:val="16"/>
        </w:rPr>
      </w:pPr>
      <w:r w:rsidRPr="00DB2292">
        <w:rPr>
          <w:sz w:val="16"/>
          <w:szCs w:val="16"/>
        </w:rPr>
        <w:t>Daño causado.</w:t>
      </w:r>
    </w:p>
    <w:p w:rsidR="001776B6" w:rsidRPr="00DB2292" w:rsidRDefault="001776B6" w:rsidP="001776B6">
      <w:pPr>
        <w:pStyle w:val="Textonotapie"/>
        <w:numPr>
          <w:ilvl w:val="0"/>
          <w:numId w:val="14"/>
        </w:numPr>
        <w:rPr>
          <w:b/>
          <w:sz w:val="16"/>
          <w:szCs w:val="16"/>
        </w:rPr>
      </w:pPr>
      <w:r w:rsidRPr="00DB2292">
        <w:rPr>
          <w:sz w:val="16"/>
          <w:szCs w:val="16"/>
        </w:rPr>
        <w:t>Reiterancia.</w:t>
      </w:r>
    </w:p>
    <w:p w:rsidR="001776B6" w:rsidRPr="00DB2292" w:rsidRDefault="001776B6" w:rsidP="001776B6">
      <w:pPr>
        <w:pStyle w:val="Textonotapie"/>
        <w:numPr>
          <w:ilvl w:val="0"/>
          <w:numId w:val="14"/>
        </w:numPr>
        <w:rPr>
          <w:b/>
          <w:sz w:val="16"/>
          <w:szCs w:val="16"/>
        </w:rPr>
      </w:pPr>
      <w:r w:rsidRPr="00DB2292">
        <w:rPr>
          <w:sz w:val="16"/>
          <w:szCs w:val="16"/>
        </w:rPr>
        <w:t>El reconocimiento de la infracción antes de que sea detectada.</w:t>
      </w:r>
    </w:p>
    <w:p w:rsidR="001776B6" w:rsidRPr="00DB2292" w:rsidRDefault="001776B6" w:rsidP="001776B6">
      <w:pPr>
        <w:pStyle w:val="Textonotapie"/>
        <w:numPr>
          <w:ilvl w:val="0"/>
          <w:numId w:val="14"/>
        </w:numPr>
        <w:rPr>
          <w:b/>
          <w:sz w:val="16"/>
          <w:szCs w:val="16"/>
        </w:rPr>
      </w:pPr>
      <w:r w:rsidRPr="00DB2292">
        <w:rPr>
          <w:sz w:val="16"/>
          <w:szCs w:val="16"/>
        </w:rPr>
        <w:t>Circunstancias de tiempo, lugar y modo.</w:t>
      </w:r>
    </w:p>
    <w:p w:rsidR="001776B6" w:rsidRPr="00DB2292" w:rsidRDefault="001776B6" w:rsidP="001776B6">
      <w:pPr>
        <w:pStyle w:val="Textonotapie"/>
        <w:numPr>
          <w:ilvl w:val="0"/>
          <w:numId w:val="14"/>
        </w:numPr>
        <w:rPr>
          <w:b/>
          <w:sz w:val="16"/>
          <w:szCs w:val="16"/>
        </w:rPr>
      </w:pPr>
      <w:r w:rsidRPr="00DB2292">
        <w:rPr>
          <w:sz w:val="16"/>
          <w:szCs w:val="16"/>
        </w:rPr>
        <w:t>Condiciones del Infractor.</w:t>
      </w:r>
    </w:p>
    <w:p w:rsidR="001776B6" w:rsidRPr="00DB2292" w:rsidRDefault="001776B6" w:rsidP="001776B6">
      <w:pPr>
        <w:pStyle w:val="Textonotapie"/>
        <w:numPr>
          <w:ilvl w:val="0"/>
          <w:numId w:val="14"/>
        </w:numPr>
        <w:rPr>
          <w:b/>
          <w:sz w:val="16"/>
          <w:szCs w:val="16"/>
        </w:rPr>
      </w:pPr>
      <w:r w:rsidRPr="00DB2292">
        <w:rPr>
          <w:sz w:val="16"/>
          <w:szCs w:val="16"/>
        </w:rPr>
        <w:t>Conducta procesal del infractor.</w:t>
      </w:r>
    </w:p>
    <w:p w:rsidR="001776B6" w:rsidRPr="00616C93" w:rsidRDefault="001776B6" w:rsidP="001776B6">
      <w:pPr>
        <w:pStyle w:val="Textonotapie"/>
        <w:ind w:left="120"/>
        <w:rPr>
          <w:sz w:val="16"/>
          <w:szCs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04C" w:rsidRDefault="0053204C" w:rsidP="0053204C">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53204C" w:rsidRDefault="0053204C" w:rsidP="0053204C">
    <w:pPr>
      <w:pStyle w:val="Encabezado"/>
      <w:rPr>
        <w:noProof/>
      </w:rPr>
    </w:pPr>
  </w:p>
  <w:p w:rsidR="0053204C" w:rsidRDefault="0053204C" w:rsidP="0053204C">
    <w:pPr>
      <w:pStyle w:val="Encabezado"/>
      <w:rPr>
        <w:noProof/>
      </w:rPr>
    </w:pPr>
  </w:p>
  <w:p w:rsidR="0053204C" w:rsidRDefault="0053204C" w:rsidP="0053204C">
    <w:pPr>
      <w:pStyle w:val="Encabezado"/>
      <w:rPr>
        <w:noProof/>
      </w:rPr>
    </w:pPr>
  </w:p>
  <w:p w:rsidR="0053204C" w:rsidRDefault="0053204C" w:rsidP="0053204C">
    <w:pPr>
      <w:pStyle w:val="Encabezado"/>
      <w:jc w:val="center"/>
    </w:pPr>
    <w:r>
      <w:rPr>
        <w:rFonts w:ascii="Monotype Corsiva" w:hAnsi="Monotype Corsiva"/>
        <w:b/>
        <w:sz w:val="44"/>
        <w:szCs w:val="44"/>
      </w:rPr>
      <w:t xml:space="preserve">Resolución Nº   </w:t>
    </w:r>
    <w:r>
      <w:rPr>
        <w:rFonts w:ascii="Tahoma" w:hAnsi="Tahoma" w:cs="Tahoma"/>
        <w:b/>
        <w:sz w:val="44"/>
        <w:szCs w:val="44"/>
      </w:rPr>
      <w:t>343-2011-TC-S1</w:t>
    </w:r>
  </w:p>
  <w:p w:rsidR="0053204C" w:rsidRDefault="0053204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6D82"/>
    <w:multiLevelType w:val="hybridMultilevel"/>
    <w:tmpl w:val="B22A7B0C"/>
    <w:lvl w:ilvl="0" w:tplc="D7A8BF70">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03FA3E39"/>
    <w:multiLevelType w:val="hybridMultilevel"/>
    <w:tmpl w:val="34EE19A4"/>
    <w:lvl w:ilvl="0" w:tplc="0C880FB2">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48E5AC7"/>
    <w:multiLevelType w:val="hybridMultilevel"/>
    <w:tmpl w:val="AD7CEC18"/>
    <w:lvl w:ilvl="0" w:tplc="0E54F300">
      <w:start w:val="1"/>
      <w:numFmt w:val="decimal"/>
      <w:lvlText w:val="%1."/>
      <w:lvlJc w:val="left"/>
      <w:pPr>
        <w:tabs>
          <w:tab w:val="num" w:pos="720"/>
        </w:tabs>
        <w:ind w:left="720" w:hanging="360"/>
      </w:pPr>
      <w:rPr>
        <w:b/>
        <w:sz w:val="20"/>
        <w:szCs w:val="20"/>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498875FC">
      <w:start w:val="1"/>
      <w:numFmt w:val="lowerLetter"/>
      <w:lvlText w:val="%5."/>
      <w:lvlJc w:val="left"/>
      <w:pPr>
        <w:ind w:left="3930" w:hanging="69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096E7451"/>
    <w:multiLevelType w:val="hybridMultilevel"/>
    <w:tmpl w:val="45E23DBA"/>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nsid w:val="0D89661A"/>
    <w:multiLevelType w:val="hybridMultilevel"/>
    <w:tmpl w:val="01CE751A"/>
    <w:lvl w:ilvl="0" w:tplc="D69A56F8">
      <w:start w:val="1"/>
      <w:numFmt w:val="decimal"/>
      <w:lvlText w:val="%1."/>
      <w:lvlJc w:val="left"/>
      <w:pPr>
        <w:tabs>
          <w:tab w:val="num" w:pos="596"/>
        </w:tabs>
        <w:ind w:left="596" w:hanging="454"/>
      </w:pPr>
      <w:rPr>
        <w:rFonts w:ascii="Tahoma" w:hAnsi="Tahoma" w:cs="Tahoma" w:hint="default"/>
        <w:b/>
        <w:i w:val="0"/>
        <w:shadow w:val="0"/>
        <w:emboss w:val="0"/>
        <w:imprint w:val="0"/>
        <w:color w:val="auto"/>
        <w:sz w:val="20"/>
        <w:szCs w:val="20"/>
        <w:u w:color="FFFFFF"/>
        <w:effect w:val="none"/>
        <w:lang w:val="es-ES"/>
      </w:rPr>
    </w:lvl>
    <w:lvl w:ilvl="1" w:tplc="70F2732C">
      <w:start w:val="1"/>
      <w:numFmt w:val="lowerLetter"/>
      <w:lvlText w:val="%2."/>
      <w:lvlJc w:val="left"/>
      <w:pPr>
        <w:tabs>
          <w:tab w:val="num" w:pos="1440"/>
        </w:tabs>
        <w:ind w:left="1440" w:hanging="360"/>
      </w:pPr>
      <w:rPr>
        <w:sz w:val="22"/>
        <w:szCs w:val="22"/>
      </w:rPr>
    </w:lvl>
    <w:lvl w:ilvl="2" w:tplc="B1187586">
      <w:start w:val="1"/>
      <w:numFmt w:val="lowerRoman"/>
      <w:lvlText w:val="(%3)"/>
      <w:lvlJc w:val="left"/>
      <w:pPr>
        <w:tabs>
          <w:tab w:val="num" w:pos="2700"/>
        </w:tabs>
        <w:ind w:left="2700" w:hanging="720"/>
      </w:pPr>
      <w:rPr>
        <w:rFonts w:hint="default"/>
        <w:b/>
        <w:sz w:val="22"/>
        <w:szCs w:val="22"/>
      </w:rPr>
    </w:lvl>
    <w:lvl w:ilvl="3" w:tplc="08F29F0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31D60A9"/>
    <w:multiLevelType w:val="hybridMultilevel"/>
    <w:tmpl w:val="1A801A96"/>
    <w:lvl w:ilvl="0" w:tplc="3BB04CAE">
      <w:start w:val="1"/>
      <w:numFmt w:val="decimal"/>
      <w:lvlText w:val="%1."/>
      <w:lvlJc w:val="left"/>
      <w:pPr>
        <w:tabs>
          <w:tab w:val="num" w:pos="720"/>
        </w:tabs>
        <w:ind w:left="720" w:hanging="360"/>
      </w:pPr>
      <w:rPr>
        <w:b/>
      </w:rPr>
    </w:lvl>
    <w:lvl w:ilvl="1" w:tplc="0C0A0019">
      <w:start w:val="1"/>
      <w:numFmt w:val="bullet"/>
      <w:lvlText w:val=""/>
      <w:lvlJc w:val="left"/>
      <w:pPr>
        <w:tabs>
          <w:tab w:val="num" w:pos="1440"/>
        </w:tabs>
        <w:ind w:left="1440" w:hanging="360"/>
      </w:pPr>
      <w:rPr>
        <w:rFonts w:ascii="Symbol" w:eastAsia="Times New Roman" w:hAnsi="Symbol" w:cs="Aria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180361FF"/>
    <w:multiLevelType w:val="hybridMultilevel"/>
    <w:tmpl w:val="634A8E34"/>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nsid w:val="2CCF2AFD"/>
    <w:multiLevelType w:val="hybridMultilevel"/>
    <w:tmpl w:val="ADB452B8"/>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8">
    <w:nsid w:val="2DFC5248"/>
    <w:multiLevelType w:val="hybridMultilevel"/>
    <w:tmpl w:val="921CE842"/>
    <w:lvl w:ilvl="0" w:tplc="F44A618E">
      <w:start w:val="1"/>
      <w:numFmt w:val="lowerRoman"/>
      <w:lvlText w:val="(%1)"/>
      <w:lvlJc w:val="lef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9">
    <w:nsid w:val="2E720AC6"/>
    <w:multiLevelType w:val="hybridMultilevel"/>
    <w:tmpl w:val="18446698"/>
    <w:lvl w:ilvl="0" w:tplc="2C762992">
      <w:start w:val="1"/>
      <w:numFmt w:val="decimal"/>
      <w:lvlText w:val="%1."/>
      <w:lvlJc w:val="left"/>
      <w:pPr>
        <w:tabs>
          <w:tab w:val="num" w:pos="8100"/>
        </w:tabs>
        <w:ind w:left="8100" w:hanging="360"/>
      </w:pPr>
      <w:rPr>
        <w:rFonts w:hint="default"/>
        <w:b/>
        <w:sz w:val="20"/>
        <w:szCs w:val="20"/>
      </w:rPr>
    </w:lvl>
    <w:lvl w:ilvl="1" w:tplc="0C0A0019" w:tentative="1">
      <w:start w:val="1"/>
      <w:numFmt w:val="lowerLetter"/>
      <w:lvlText w:val="%2."/>
      <w:lvlJc w:val="left"/>
      <w:pPr>
        <w:tabs>
          <w:tab w:val="num" w:pos="8820"/>
        </w:tabs>
        <w:ind w:left="8820" w:hanging="360"/>
      </w:pPr>
    </w:lvl>
    <w:lvl w:ilvl="2" w:tplc="0C0A001B" w:tentative="1">
      <w:start w:val="1"/>
      <w:numFmt w:val="lowerRoman"/>
      <w:lvlText w:val="%3."/>
      <w:lvlJc w:val="right"/>
      <w:pPr>
        <w:tabs>
          <w:tab w:val="num" w:pos="9540"/>
        </w:tabs>
        <w:ind w:left="9540" w:hanging="180"/>
      </w:pPr>
    </w:lvl>
    <w:lvl w:ilvl="3" w:tplc="0C0A000F" w:tentative="1">
      <w:start w:val="1"/>
      <w:numFmt w:val="decimal"/>
      <w:lvlText w:val="%4."/>
      <w:lvlJc w:val="left"/>
      <w:pPr>
        <w:tabs>
          <w:tab w:val="num" w:pos="10260"/>
        </w:tabs>
        <w:ind w:left="10260" w:hanging="360"/>
      </w:pPr>
    </w:lvl>
    <w:lvl w:ilvl="4" w:tplc="0C0A0019" w:tentative="1">
      <w:start w:val="1"/>
      <w:numFmt w:val="lowerLetter"/>
      <w:lvlText w:val="%5."/>
      <w:lvlJc w:val="left"/>
      <w:pPr>
        <w:tabs>
          <w:tab w:val="num" w:pos="10980"/>
        </w:tabs>
        <w:ind w:left="10980" w:hanging="360"/>
      </w:pPr>
    </w:lvl>
    <w:lvl w:ilvl="5" w:tplc="0C0A001B" w:tentative="1">
      <w:start w:val="1"/>
      <w:numFmt w:val="lowerRoman"/>
      <w:lvlText w:val="%6."/>
      <w:lvlJc w:val="right"/>
      <w:pPr>
        <w:tabs>
          <w:tab w:val="num" w:pos="11700"/>
        </w:tabs>
        <w:ind w:left="11700" w:hanging="180"/>
      </w:pPr>
    </w:lvl>
    <w:lvl w:ilvl="6" w:tplc="0C0A000F" w:tentative="1">
      <w:start w:val="1"/>
      <w:numFmt w:val="decimal"/>
      <w:lvlText w:val="%7."/>
      <w:lvlJc w:val="left"/>
      <w:pPr>
        <w:tabs>
          <w:tab w:val="num" w:pos="12420"/>
        </w:tabs>
        <w:ind w:left="12420" w:hanging="360"/>
      </w:pPr>
    </w:lvl>
    <w:lvl w:ilvl="7" w:tplc="0C0A0019" w:tentative="1">
      <w:start w:val="1"/>
      <w:numFmt w:val="lowerLetter"/>
      <w:lvlText w:val="%8."/>
      <w:lvlJc w:val="left"/>
      <w:pPr>
        <w:tabs>
          <w:tab w:val="num" w:pos="13140"/>
        </w:tabs>
        <w:ind w:left="13140" w:hanging="360"/>
      </w:pPr>
    </w:lvl>
    <w:lvl w:ilvl="8" w:tplc="0C0A001B" w:tentative="1">
      <w:start w:val="1"/>
      <w:numFmt w:val="lowerRoman"/>
      <w:lvlText w:val="%9."/>
      <w:lvlJc w:val="right"/>
      <w:pPr>
        <w:tabs>
          <w:tab w:val="num" w:pos="13860"/>
        </w:tabs>
        <w:ind w:left="13860" w:hanging="180"/>
      </w:pPr>
    </w:lvl>
  </w:abstractNum>
  <w:abstractNum w:abstractNumId="10">
    <w:nsid w:val="3468407A"/>
    <w:multiLevelType w:val="hybridMultilevel"/>
    <w:tmpl w:val="314ED194"/>
    <w:lvl w:ilvl="0" w:tplc="C1AC6AEC">
      <w:start w:val="1"/>
      <w:numFmt w:val="lowerRoman"/>
      <w:lvlText w:val="%1."/>
      <w:lvlJc w:val="righ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1">
    <w:nsid w:val="3E7D0E0B"/>
    <w:multiLevelType w:val="hybridMultilevel"/>
    <w:tmpl w:val="DBB42198"/>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408F6B27"/>
    <w:multiLevelType w:val="hybridMultilevel"/>
    <w:tmpl w:val="4684A2BA"/>
    <w:lvl w:ilvl="0" w:tplc="F5C055C0">
      <w:start w:val="1"/>
      <w:numFmt w:val="decimal"/>
      <w:lvlText w:val="%1."/>
      <w:lvlJc w:val="left"/>
      <w:pPr>
        <w:tabs>
          <w:tab w:val="num" w:pos="480"/>
        </w:tabs>
        <w:ind w:left="480" w:hanging="360"/>
      </w:pPr>
      <w:rPr>
        <w:rFonts w:hint="default"/>
        <w:b w:val="0"/>
      </w:rPr>
    </w:lvl>
    <w:lvl w:ilvl="1" w:tplc="0C0A0019" w:tentative="1">
      <w:start w:val="1"/>
      <w:numFmt w:val="lowerLetter"/>
      <w:lvlText w:val="%2."/>
      <w:lvlJc w:val="left"/>
      <w:pPr>
        <w:tabs>
          <w:tab w:val="num" w:pos="1200"/>
        </w:tabs>
        <w:ind w:left="1200" w:hanging="360"/>
      </w:pPr>
    </w:lvl>
    <w:lvl w:ilvl="2" w:tplc="709221C6" w:tentative="1">
      <w:start w:val="1"/>
      <w:numFmt w:val="lowerRoman"/>
      <w:lvlText w:val="%3."/>
      <w:lvlJc w:val="right"/>
      <w:pPr>
        <w:tabs>
          <w:tab w:val="num" w:pos="1920"/>
        </w:tabs>
        <w:ind w:left="1920" w:hanging="180"/>
      </w:pPr>
    </w:lvl>
    <w:lvl w:ilvl="3" w:tplc="0C0A000F" w:tentative="1">
      <w:start w:val="1"/>
      <w:numFmt w:val="decimal"/>
      <w:lvlText w:val="%4."/>
      <w:lvlJc w:val="left"/>
      <w:pPr>
        <w:tabs>
          <w:tab w:val="num" w:pos="2640"/>
        </w:tabs>
        <w:ind w:left="2640" w:hanging="360"/>
      </w:pPr>
    </w:lvl>
    <w:lvl w:ilvl="4" w:tplc="0C0A0019" w:tentative="1">
      <w:start w:val="1"/>
      <w:numFmt w:val="lowerLetter"/>
      <w:lvlText w:val="%5."/>
      <w:lvlJc w:val="left"/>
      <w:pPr>
        <w:tabs>
          <w:tab w:val="num" w:pos="3360"/>
        </w:tabs>
        <w:ind w:left="3360" w:hanging="360"/>
      </w:pPr>
    </w:lvl>
    <w:lvl w:ilvl="5" w:tplc="0C0A001B" w:tentative="1">
      <w:start w:val="1"/>
      <w:numFmt w:val="lowerRoman"/>
      <w:lvlText w:val="%6."/>
      <w:lvlJc w:val="right"/>
      <w:pPr>
        <w:tabs>
          <w:tab w:val="num" w:pos="4080"/>
        </w:tabs>
        <w:ind w:left="4080" w:hanging="180"/>
      </w:pPr>
    </w:lvl>
    <w:lvl w:ilvl="6" w:tplc="0C0A000F" w:tentative="1">
      <w:start w:val="1"/>
      <w:numFmt w:val="decimal"/>
      <w:lvlText w:val="%7."/>
      <w:lvlJc w:val="left"/>
      <w:pPr>
        <w:tabs>
          <w:tab w:val="num" w:pos="4800"/>
        </w:tabs>
        <w:ind w:left="4800" w:hanging="360"/>
      </w:pPr>
    </w:lvl>
    <w:lvl w:ilvl="7" w:tplc="0C0A0019" w:tentative="1">
      <w:start w:val="1"/>
      <w:numFmt w:val="lowerLetter"/>
      <w:lvlText w:val="%8."/>
      <w:lvlJc w:val="left"/>
      <w:pPr>
        <w:tabs>
          <w:tab w:val="num" w:pos="5520"/>
        </w:tabs>
        <w:ind w:left="5520" w:hanging="360"/>
      </w:pPr>
    </w:lvl>
    <w:lvl w:ilvl="8" w:tplc="0C0A001B" w:tentative="1">
      <w:start w:val="1"/>
      <w:numFmt w:val="lowerRoman"/>
      <w:lvlText w:val="%9."/>
      <w:lvlJc w:val="right"/>
      <w:pPr>
        <w:tabs>
          <w:tab w:val="num" w:pos="6240"/>
        </w:tabs>
        <w:ind w:left="6240" w:hanging="180"/>
      </w:pPr>
    </w:lvl>
  </w:abstractNum>
  <w:abstractNum w:abstractNumId="13">
    <w:nsid w:val="420F6C4B"/>
    <w:multiLevelType w:val="hybridMultilevel"/>
    <w:tmpl w:val="B4328FEE"/>
    <w:lvl w:ilvl="0" w:tplc="A5705B54">
      <w:start w:val="1"/>
      <w:numFmt w:val="lowerRoman"/>
      <w:lvlText w:val="(%1)"/>
      <w:lvlJc w:val="left"/>
      <w:pPr>
        <w:ind w:left="1287" w:hanging="360"/>
      </w:pPr>
      <w:rPr>
        <w:rFonts w:hint="default"/>
        <w:b/>
        <w:i w:val="0"/>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4">
    <w:nsid w:val="44193628"/>
    <w:multiLevelType w:val="hybridMultilevel"/>
    <w:tmpl w:val="94B681A2"/>
    <w:lvl w:ilvl="0" w:tplc="0C0A001B">
      <w:start w:val="1"/>
      <w:numFmt w:val="lowerRoman"/>
      <w:lvlText w:val="%1."/>
      <w:lvlJc w:val="right"/>
      <w:pPr>
        <w:ind w:left="720" w:hanging="360"/>
      </w:pPr>
      <w:rPr>
        <w:b/>
      </w:rPr>
    </w:lvl>
    <w:lvl w:ilvl="1" w:tplc="BB567E5A">
      <w:start w:val="1"/>
      <w:numFmt w:val="decimal"/>
      <w:lvlText w:val="%2."/>
      <w:lvlJc w:val="left"/>
      <w:pPr>
        <w:ind w:left="1455" w:hanging="375"/>
      </w:pPr>
      <w:rPr>
        <w:rFonts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452C5B89"/>
    <w:multiLevelType w:val="hybridMultilevel"/>
    <w:tmpl w:val="3940A9BE"/>
    <w:lvl w:ilvl="0" w:tplc="5246B6C8">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6">
    <w:nsid w:val="55706F67"/>
    <w:multiLevelType w:val="hybridMultilevel"/>
    <w:tmpl w:val="50228332"/>
    <w:lvl w:ilvl="0" w:tplc="AFA4D940">
      <w:start w:val="1"/>
      <w:numFmt w:val="decimal"/>
      <w:lvlText w:val="%1."/>
      <w:lvlJc w:val="left"/>
      <w:pPr>
        <w:tabs>
          <w:tab w:val="num" w:pos="720"/>
        </w:tabs>
        <w:ind w:left="720" w:hanging="360"/>
      </w:pPr>
      <w:rPr>
        <w:sz w:val="12"/>
        <w:szCs w:val="12"/>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7">
    <w:nsid w:val="55D10505"/>
    <w:multiLevelType w:val="hybridMultilevel"/>
    <w:tmpl w:val="E0024B12"/>
    <w:lvl w:ilvl="0" w:tplc="5ACCB444">
      <w:start w:val="1"/>
      <w:numFmt w:val="lowerRoman"/>
      <w:lvlText w:val="%1."/>
      <w:lvlJc w:val="right"/>
      <w:pPr>
        <w:ind w:left="1854" w:hanging="360"/>
      </w:pPr>
      <w:rPr>
        <w:b/>
      </w:rPr>
    </w:lvl>
    <w:lvl w:ilvl="1" w:tplc="0C0A0019" w:tentative="1">
      <w:start w:val="1"/>
      <w:numFmt w:val="lowerLetter"/>
      <w:lvlText w:val="%2."/>
      <w:lvlJc w:val="left"/>
      <w:pPr>
        <w:ind w:left="2574" w:hanging="360"/>
      </w:pPr>
    </w:lvl>
    <w:lvl w:ilvl="2" w:tplc="0C0A001B" w:tentative="1">
      <w:start w:val="1"/>
      <w:numFmt w:val="lowerRoman"/>
      <w:lvlText w:val="%3."/>
      <w:lvlJc w:val="right"/>
      <w:pPr>
        <w:ind w:left="3294" w:hanging="180"/>
      </w:pPr>
    </w:lvl>
    <w:lvl w:ilvl="3" w:tplc="0C0A000F" w:tentative="1">
      <w:start w:val="1"/>
      <w:numFmt w:val="decimal"/>
      <w:lvlText w:val="%4."/>
      <w:lvlJc w:val="left"/>
      <w:pPr>
        <w:ind w:left="4014" w:hanging="360"/>
      </w:pPr>
    </w:lvl>
    <w:lvl w:ilvl="4" w:tplc="0C0A0019" w:tentative="1">
      <w:start w:val="1"/>
      <w:numFmt w:val="lowerLetter"/>
      <w:lvlText w:val="%5."/>
      <w:lvlJc w:val="left"/>
      <w:pPr>
        <w:ind w:left="4734" w:hanging="360"/>
      </w:pPr>
    </w:lvl>
    <w:lvl w:ilvl="5" w:tplc="0C0A001B" w:tentative="1">
      <w:start w:val="1"/>
      <w:numFmt w:val="lowerRoman"/>
      <w:lvlText w:val="%6."/>
      <w:lvlJc w:val="right"/>
      <w:pPr>
        <w:ind w:left="5454" w:hanging="180"/>
      </w:pPr>
    </w:lvl>
    <w:lvl w:ilvl="6" w:tplc="0C0A000F" w:tentative="1">
      <w:start w:val="1"/>
      <w:numFmt w:val="decimal"/>
      <w:lvlText w:val="%7."/>
      <w:lvlJc w:val="left"/>
      <w:pPr>
        <w:ind w:left="6174" w:hanging="360"/>
      </w:pPr>
    </w:lvl>
    <w:lvl w:ilvl="7" w:tplc="0C0A0019" w:tentative="1">
      <w:start w:val="1"/>
      <w:numFmt w:val="lowerLetter"/>
      <w:lvlText w:val="%8."/>
      <w:lvlJc w:val="left"/>
      <w:pPr>
        <w:ind w:left="6894" w:hanging="360"/>
      </w:pPr>
    </w:lvl>
    <w:lvl w:ilvl="8" w:tplc="0C0A001B" w:tentative="1">
      <w:start w:val="1"/>
      <w:numFmt w:val="lowerRoman"/>
      <w:lvlText w:val="%9."/>
      <w:lvlJc w:val="right"/>
      <w:pPr>
        <w:ind w:left="7614" w:hanging="180"/>
      </w:pPr>
    </w:lvl>
  </w:abstractNum>
  <w:abstractNum w:abstractNumId="18">
    <w:nsid w:val="56473656"/>
    <w:multiLevelType w:val="hybridMultilevel"/>
    <w:tmpl w:val="B072B59A"/>
    <w:lvl w:ilvl="0" w:tplc="56684FFC">
      <w:start w:val="1"/>
      <w:numFmt w:val="decimal"/>
      <w:lvlText w:val="%1."/>
      <w:lvlJc w:val="left"/>
      <w:pPr>
        <w:ind w:left="720" w:hanging="360"/>
      </w:pPr>
      <w:rPr>
        <w:b/>
        <w:sz w:val="21"/>
        <w:szCs w:val="2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5E193018"/>
    <w:multiLevelType w:val="hybridMultilevel"/>
    <w:tmpl w:val="CC50CAA0"/>
    <w:lvl w:ilvl="0" w:tplc="1AF815EA">
      <w:start w:val="1"/>
      <w:numFmt w:val="lowerRoman"/>
      <w:lvlText w:val="%1."/>
      <w:lvlJc w:val="righ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0">
    <w:nsid w:val="61356E09"/>
    <w:multiLevelType w:val="hybridMultilevel"/>
    <w:tmpl w:val="A4108FE4"/>
    <w:lvl w:ilvl="0" w:tplc="81064F46">
      <w:start w:val="1"/>
      <w:numFmt w:val="lowerRoman"/>
      <w:lvlText w:val="%1."/>
      <w:lvlJc w:val="right"/>
      <w:pPr>
        <w:ind w:left="1287" w:hanging="360"/>
      </w:pPr>
      <w:rPr>
        <w:b/>
        <w:i w:val="0"/>
        <w:sz w:val="25"/>
        <w:szCs w:val="25"/>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1">
    <w:nsid w:val="6EA50FF8"/>
    <w:multiLevelType w:val="hybridMultilevel"/>
    <w:tmpl w:val="942E561C"/>
    <w:lvl w:ilvl="0" w:tplc="F1AC1BBE">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2">
    <w:nsid w:val="7CBF7177"/>
    <w:multiLevelType w:val="hybridMultilevel"/>
    <w:tmpl w:val="882A3CEC"/>
    <w:lvl w:ilvl="0" w:tplc="0C0A001B">
      <w:start w:val="1"/>
      <w:numFmt w:val="lowerRoman"/>
      <w:lvlText w:val="%1."/>
      <w:lvlJc w:val="righ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3">
    <w:nsid w:val="7EC759A6"/>
    <w:multiLevelType w:val="hybridMultilevel"/>
    <w:tmpl w:val="921CD5C4"/>
    <w:lvl w:ilvl="0" w:tplc="366C1FBA">
      <w:start w:val="1"/>
      <w:numFmt w:val="decimal"/>
      <w:lvlText w:val="%1."/>
      <w:lvlJc w:val="left"/>
      <w:pPr>
        <w:tabs>
          <w:tab w:val="num" w:pos="360"/>
        </w:tabs>
        <w:ind w:left="360" w:hanging="360"/>
      </w:pPr>
      <w:rPr>
        <w:rFonts w:hint="default"/>
        <w:b/>
        <w:sz w:val="20"/>
        <w:szCs w:val="20"/>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1"/>
  </w:num>
  <w:num w:numId="4">
    <w:abstractNumId w:val="1"/>
  </w:num>
  <w:num w:numId="5">
    <w:abstractNumId w:val="23"/>
  </w:num>
  <w:num w:numId="6">
    <w:abstractNumId w:val="20"/>
  </w:num>
  <w:num w:numId="7">
    <w:abstractNumId w:val="18"/>
  </w:num>
  <w:num w:numId="8">
    <w:abstractNumId w:val="22"/>
  </w:num>
  <w:num w:numId="9">
    <w:abstractNumId w:val="16"/>
  </w:num>
  <w:num w:numId="10">
    <w:abstractNumId w:val="14"/>
  </w:num>
  <w:num w:numId="11">
    <w:abstractNumId w:val="4"/>
  </w:num>
  <w:num w:numId="12">
    <w:abstractNumId w:val="10"/>
  </w:num>
  <w:num w:numId="13">
    <w:abstractNumId w:val="2"/>
  </w:num>
  <w:num w:numId="14">
    <w:abstractNumId w:val="12"/>
  </w:num>
  <w:num w:numId="15">
    <w:abstractNumId w:val="17"/>
  </w:num>
  <w:num w:numId="16">
    <w:abstractNumId w:val="9"/>
  </w:num>
  <w:num w:numId="17">
    <w:abstractNumId w:val="19"/>
  </w:num>
  <w:num w:numId="18">
    <w:abstractNumId w:val="8"/>
  </w:num>
  <w:num w:numId="19">
    <w:abstractNumId w:val="21"/>
  </w:num>
  <w:num w:numId="20">
    <w:abstractNumId w:val="13"/>
  </w:num>
  <w:num w:numId="21">
    <w:abstractNumId w:val="6"/>
  </w:num>
  <w:num w:numId="22">
    <w:abstractNumId w:val="15"/>
  </w:num>
  <w:num w:numId="23">
    <w:abstractNumId w:val="7"/>
  </w:num>
  <w:num w:numId="24">
    <w:abstractNumId w:val="3"/>
  </w:num>
  <w:num w:numId="2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7410"/>
  </w:hdrShapeDefaults>
  <w:footnotePr>
    <w:footnote w:id="0"/>
    <w:footnote w:id="1"/>
  </w:footnotePr>
  <w:endnotePr>
    <w:endnote w:id="0"/>
    <w:endnote w:id="1"/>
  </w:endnotePr>
  <w:compat/>
  <w:rsids>
    <w:rsidRoot w:val="00E13E6B"/>
    <w:rsid w:val="00000BF4"/>
    <w:rsid w:val="00016207"/>
    <w:rsid w:val="00027FB1"/>
    <w:rsid w:val="0005582F"/>
    <w:rsid w:val="00082DF1"/>
    <w:rsid w:val="000B0A8A"/>
    <w:rsid w:val="000B0CEB"/>
    <w:rsid w:val="000B6C24"/>
    <w:rsid w:val="000E3E0B"/>
    <w:rsid w:val="001016D9"/>
    <w:rsid w:val="001337F7"/>
    <w:rsid w:val="00140241"/>
    <w:rsid w:val="00140DE4"/>
    <w:rsid w:val="00164CC7"/>
    <w:rsid w:val="001776B6"/>
    <w:rsid w:val="00187209"/>
    <w:rsid w:val="00187E2A"/>
    <w:rsid w:val="001C5BD6"/>
    <w:rsid w:val="001E448B"/>
    <w:rsid w:val="001F5C44"/>
    <w:rsid w:val="00222218"/>
    <w:rsid w:val="0022267E"/>
    <w:rsid w:val="00231184"/>
    <w:rsid w:val="0023169C"/>
    <w:rsid w:val="00254249"/>
    <w:rsid w:val="00295C50"/>
    <w:rsid w:val="00331E1A"/>
    <w:rsid w:val="003430DE"/>
    <w:rsid w:val="00351F6F"/>
    <w:rsid w:val="00360AFE"/>
    <w:rsid w:val="003B4F9C"/>
    <w:rsid w:val="004255A5"/>
    <w:rsid w:val="00440D71"/>
    <w:rsid w:val="00442AC8"/>
    <w:rsid w:val="004515EA"/>
    <w:rsid w:val="00455F96"/>
    <w:rsid w:val="00466DC8"/>
    <w:rsid w:val="004C487F"/>
    <w:rsid w:val="004C5043"/>
    <w:rsid w:val="004F2CC5"/>
    <w:rsid w:val="00531D1E"/>
    <w:rsid w:val="0053204C"/>
    <w:rsid w:val="005521E5"/>
    <w:rsid w:val="00567032"/>
    <w:rsid w:val="005B0EEA"/>
    <w:rsid w:val="005B1E24"/>
    <w:rsid w:val="005E3E1C"/>
    <w:rsid w:val="005F3C91"/>
    <w:rsid w:val="00635F2E"/>
    <w:rsid w:val="00642EE3"/>
    <w:rsid w:val="0065269D"/>
    <w:rsid w:val="006550D3"/>
    <w:rsid w:val="006B6377"/>
    <w:rsid w:val="006C0A94"/>
    <w:rsid w:val="006C2E41"/>
    <w:rsid w:val="006C5B6A"/>
    <w:rsid w:val="006D2E88"/>
    <w:rsid w:val="006E4E4E"/>
    <w:rsid w:val="006E5571"/>
    <w:rsid w:val="006E5BF8"/>
    <w:rsid w:val="006F0656"/>
    <w:rsid w:val="006F3B1E"/>
    <w:rsid w:val="0074555F"/>
    <w:rsid w:val="007570AE"/>
    <w:rsid w:val="00763CC8"/>
    <w:rsid w:val="00766749"/>
    <w:rsid w:val="007728C3"/>
    <w:rsid w:val="00773E12"/>
    <w:rsid w:val="007D7E70"/>
    <w:rsid w:val="007E4F29"/>
    <w:rsid w:val="008011A4"/>
    <w:rsid w:val="00805EC7"/>
    <w:rsid w:val="00822C2F"/>
    <w:rsid w:val="00835165"/>
    <w:rsid w:val="008734E8"/>
    <w:rsid w:val="00903A92"/>
    <w:rsid w:val="009066F9"/>
    <w:rsid w:val="00920048"/>
    <w:rsid w:val="0092385F"/>
    <w:rsid w:val="0092699F"/>
    <w:rsid w:val="00982D52"/>
    <w:rsid w:val="00992FEE"/>
    <w:rsid w:val="00993C05"/>
    <w:rsid w:val="009C2CF7"/>
    <w:rsid w:val="009E1F2A"/>
    <w:rsid w:val="00A52C81"/>
    <w:rsid w:val="00A9776E"/>
    <w:rsid w:val="00AA6BAC"/>
    <w:rsid w:val="00AA7525"/>
    <w:rsid w:val="00AB0F61"/>
    <w:rsid w:val="00AD4AB5"/>
    <w:rsid w:val="00B05429"/>
    <w:rsid w:val="00B06760"/>
    <w:rsid w:val="00B1735A"/>
    <w:rsid w:val="00B25FCD"/>
    <w:rsid w:val="00B31BA1"/>
    <w:rsid w:val="00B71CFC"/>
    <w:rsid w:val="00BE51B2"/>
    <w:rsid w:val="00BE67EB"/>
    <w:rsid w:val="00C15ECB"/>
    <w:rsid w:val="00C5251B"/>
    <w:rsid w:val="00C8148D"/>
    <w:rsid w:val="00CC3859"/>
    <w:rsid w:val="00D002B4"/>
    <w:rsid w:val="00D115F8"/>
    <w:rsid w:val="00D13BC9"/>
    <w:rsid w:val="00D445DC"/>
    <w:rsid w:val="00DA127C"/>
    <w:rsid w:val="00DA2C25"/>
    <w:rsid w:val="00DC3001"/>
    <w:rsid w:val="00DD589B"/>
    <w:rsid w:val="00E124B8"/>
    <w:rsid w:val="00E13E6B"/>
    <w:rsid w:val="00E1470E"/>
    <w:rsid w:val="00E633EF"/>
    <w:rsid w:val="00E77676"/>
    <w:rsid w:val="00E964AA"/>
    <w:rsid w:val="00EC4953"/>
    <w:rsid w:val="00EE4815"/>
    <w:rsid w:val="00EE7A6B"/>
    <w:rsid w:val="00F3647A"/>
    <w:rsid w:val="00F4438A"/>
    <w:rsid w:val="00F50510"/>
    <w:rsid w:val="00F66D53"/>
    <w:rsid w:val="00F77525"/>
    <w:rsid w:val="00FE6FD2"/>
    <w:rsid w:val="00FF6B1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E6B"/>
    <w:pPr>
      <w:spacing w:after="0" w:line="240" w:lineRule="auto"/>
    </w:pPr>
    <w:rPr>
      <w:rFonts w:ascii="Times New Roman" w:eastAsia="Calibri" w:hAnsi="Times New Roman" w:cs="Times New Roman"/>
      <w:sz w:val="24"/>
      <w:szCs w:val="24"/>
      <w:lang w:eastAsia="es-ES"/>
    </w:rPr>
  </w:style>
  <w:style w:type="paragraph" w:styleId="Ttulo1">
    <w:name w:val="heading 1"/>
    <w:basedOn w:val="Normal"/>
    <w:next w:val="Normal"/>
    <w:link w:val="Ttulo1Car"/>
    <w:uiPriority w:val="9"/>
    <w:qFormat/>
    <w:rsid w:val="00EC49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EC495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E13E6B"/>
    <w:pPr>
      <w:tabs>
        <w:tab w:val="center" w:pos="4252"/>
        <w:tab w:val="right" w:pos="8504"/>
      </w:tabs>
    </w:pPr>
  </w:style>
  <w:style w:type="character" w:customStyle="1" w:styleId="PiedepginaCar">
    <w:name w:val="Pie de página Car"/>
    <w:basedOn w:val="Fuentedeprrafopredeter"/>
    <w:link w:val="Piedepgina"/>
    <w:rsid w:val="00E13E6B"/>
    <w:rPr>
      <w:rFonts w:ascii="Times New Roman" w:eastAsia="Calibri" w:hAnsi="Times New Roman" w:cs="Times New Roman"/>
      <w:sz w:val="24"/>
      <w:szCs w:val="24"/>
      <w:lang w:eastAsia="es-ES"/>
    </w:rPr>
  </w:style>
  <w:style w:type="paragraph" w:customStyle="1" w:styleId="Textoindependiente21">
    <w:name w:val="Texto independiente 21"/>
    <w:basedOn w:val="Normal"/>
    <w:rsid w:val="00E13E6B"/>
    <w:pPr>
      <w:jc w:val="both"/>
    </w:pPr>
    <w:rPr>
      <w:rFonts w:ascii="Tahoma" w:hAnsi="Tahoma"/>
      <w:sz w:val="22"/>
      <w:szCs w:val="20"/>
    </w:rPr>
  </w:style>
  <w:style w:type="paragraph" w:styleId="Textoindependiente3">
    <w:name w:val="Body Text 3"/>
    <w:basedOn w:val="Normal"/>
    <w:link w:val="Textoindependiente3Car"/>
    <w:rsid w:val="00E13E6B"/>
    <w:pPr>
      <w:jc w:val="center"/>
    </w:pPr>
    <w:rPr>
      <w:rFonts w:ascii="Arial" w:eastAsia="Batang" w:hAnsi="Arial"/>
      <w:b/>
      <w:sz w:val="20"/>
      <w:szCs w:val="20"/>
      <w:lang w:val="es-PE"/>
    </w:rPr>
  </w:style>
  <w:style w:type="character" w:customStyle="1" w:styleId="Textoindependiente3Car">
    <w:name w:val="Texto independiente 3 Car"/>
    <w:basedOn w:val="Fuentedeprrafopredeter"/>
    <w:link w:val="Textoindependiente3"/>
    <w:rsid w:val="00E13E6B"/>
    <w:rPr>
      <w:rFonts w:ascii="Arial" w:eastAsia="Batang" w:hAnsi="Arial" w:cs="Times New Roman"/>
      <w:b/>
      <w:sz w:val="20"/>
      <w:szCs w:val="20"/>
      <w:lang w:val="es-PE" w:eastAsia="es-ES"/>
    </w:rPr>
  </w:style>
  <w:style w:type="paragraph" w:styleId="Textoindependiente">
    <w:name w:val="Body Text"/>
    <w:basedOn w:val="Normal"/>
    <w:link w:val="TextoindependienteCar"/>
    <w:rsid w:val="00E13E6B"/>
    <w:pPr>
      <w:spacing w:after="120"/>
    </w:pPr>
  </w:style>
  <w:style w:type="character" w:customStyle="1" w:styleId="TextoindependienteCar">
    <w:name w:val="Texto independiente Car"/>
    <w:basedOn w:val="Fuentedeprrafopredeter"/>
    <w:link w:val="Textoindependiente"/>
    <w:rsid w:val="00E13E6B"/>
    <w:rPr>
      <w:rFonts w:ascii="Times New Roman" w:eastAsia="Calibri" w:hAnsi="Times New Roman" w:cs="Times New Roman"/>
      <w:sz w:val="24"/>
      <w:szCs w:val="24"/>
      <w:lang w:eastAsia="es-ES"/>
    </w:rPr>
  </w:style>
  <w:style w:type="paragraph" w:styleId="Textonotapie">
    <w:name w:val="footnote text"/>
    <w:aliases w:val="Car, Car,Car Car Car, Car4,Texto nota pie1,Body Text,Car4"/>
    <w:basedOn w:val="Normal"/>
    <w:link w:val="TextonotapieCar"/>
    <w:rsid w:val="00E13E6B"/>
    <w:rPr>
      <w:sz w:val="20"/>
      <w:szCs w:val="20"/>
    </w:rPr>
  </w:style>
  <w:style w:type="character" w:customStyle="1" w:styleId="TextonotapieCar">
    <w:name w:val="Texto nota pie Car"/>
    <w:aliases w:val="Car Car, Car Car,Car Car Car Car, Car4 Car,Texto nota pie1 Car,Body Text Car,Car4 Car"/>
    <w:basedOn w:val="Fuentedeprrafopredeter"/>
    <w:link w:val="Textonotapie"/>
    <w:rsid w:val="00E13E6B"/>
    <w:rPr>
      <w:rFonts w:ascii="Times New Roman" w:eastAsia="Calibri" w:hAnsi="Times New Roman" w:cs="Times New Roman"/>
      <w:sz w:val="20"/>
      <w:szCs w:val="20"/>
      <w:lang w:eastAsia="es-ES"/>
    </w:rPr>
  </w:style>
  <w:style w:type="character" w:styleId="Refdenotaalpie">
    <w:name w:val="footnote reference"/>
    <w:basedOn w:val="Fuentedeprrafopredeter"/>
    <w:rsid w:val="00E13E6B"/>
    <w:rPr>
      <w:rFonts w:cs="Times New Roman"/>
      <w:vertAlign w:val="superscript"/>
    </w:rPr>
  </w:style>
  <w:style w:type="paragraph" w:styleId="Prrafodelista">
    <w:name w:val="List Paragraph"/>
    <w:basedOn w:val="Normal"/>
    <w:uiPriority w:val="34"/>
    <w:qFormat/>
    <w:rsid w:val="00E13E6B"/>
    <w:pPr>
      <w:ind w:left="720"/>
      <w:contextualSpacing/>
    </w:pPr>
    <w:rPr>
      <w:rFonts w:eastAsia="Times New Roman"/>
      <w:sz w:val="20"/>
      <w:szCs w:val="20"/>
      <w:lang w:eastAsia="es-PE"/>
    </w:rPr>
  </w:style>
  <w:style w:type="paragraph" w:styleId="Sangradetextonormal">
    <w:name w:val="Body Text Indent"/>
    <w:basedOn w:val="Normal"/>
    <w:link w:val="SangradetextonormalCar"/>
    <w:uiPriority w:val="99"/>
    <w:unhideWhenUsed/>
    <w:rsid w:val="00E13E6B"/>
    <w:pPr>
      <w:spacing w:after="120"/>
      <w:ind w:left="283"/>
    </w:pPr>
    <w:rPr>
      <w:rFonts w:eastAsia="Times New Roman"/>
    </w:rPr>
  </w:style>
  <w:style w:type="character" w:customStyle="1" w:styleId="SangradetextonormalCar">
    <w:name w:val="Sangría de texto normal Car"/>
    <w:basedOn w:val="Fuentedeprrafopredeter"/>
    <w:link w:val="Sangradetextonormal"/>
    <w:uiPriority w:val="99"/>
    <w:rsid w:val="00E13E6B"/>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iPriority w:val="99"/>
    <w:semiHidden/>
    <w:unhideWhenUsed/>
    <w:rsid w:val="00E13E6B"/>
    <w:pPr>
      <w:spacing w:after="120" w:line="480" w:lineRule="auto"/>
    </w:pPr>
  </w:style>
  <w:style w:type="character" w:customStyle="1" w:styleId="Textoindependiente2Car">
    <w:name w:val="Texto independiente 2 Car"/>
    <w:basedOn w:val="Fuentedeprrafopredeter"/>
    <w:link w:val="Textoindependiente2"/>
    <w:uiPriority w:val="99"/>
    <w:semiHidden/>
    <w:rsid w:val="00E13E6B"/>
    <w:rPr>
      <w:rFonts w:ascii="Times New Roman" w:eastAsia="Calibri" w:hAnsi="Times New Roman" w:cs="Times New Roman"/>
      <w:sz w:val="24"/>
      <w:szCs w:val="24"/>
      <w:lang w:eastAsia="es-ES"/>
    </w:rPr>
  </w:style>
  <w:style w:type="paragraph" w:styleId="Sinespaciado">
    <w:name w:val="No Spacing"/>
    <w:uiPriority w:val="1"/>
    <w:qFormat/>
    <w:rsid w:val="00F77525"/>
    <w:pPr>
      <w:spacing w:after="0" w:line="240" w:lineRule="auto"/>
    </w:pPr>
    <w:rPr>
      <w:rFonts w:ascii="Calibri" w:eastAsia="Times New Roman" w:hAnsi="Calibri" w:cs="Times New Roman"/>
      <w:lang w:eastAsia="es-ES"/>
    </w:rPr>
  </w:style>
  <w:style w:type="paragraph" w:styleId="HTMLconformatoprevio">
    <w:name w:val="HTML Preformatted"/>
    <w:basedOn w:val="Normal"/>
    <w:link w:val="HTMLconformatoprevioCar"/>
    <w:unhideWhenUsed/>
    <w:rsid w:val="00552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20"/>
      <w:szCs w:val="20"/>
    </w:rPr>
  </w:style>
  <w:style w:type="character" w:customStyle="1" w:styleId="HTMLconformatoprevioCar">
    <w:name w:val="HTML con formato previo Car"/>
    <w:basedOn w:val="Fuentedeprrafopredeter"/>
    <w:link w:val="HTMLconformatoprevio"/>
    <w:rsid w:val="005521E5"/>
    <w:rPr>
      <w:rFonts w:ascii="Courier New" w:eastAsia="Times New Roman" w:hAnsi="Courier New" w:cs="Courier New"/>
      <w:color w:val="000000"/>
      <w:sz w:val="20"/>
      <w:szCs w:val="20"/>
      <w:lang w:eastAsia="es-ES"/>
    </w:rPr>
  </w:style>
  <w:style w:type="table" w:styleId="Tablaconcuadrcula">
    <w:name w:val="Table Grid"/>
    <w:basedOn w:val="Tablanormal"/>
    <w:rsid w:val="00766749"/>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EC4953"/>
    <w:rPr>
      <w:rFonts w:asciiTheme="majorHAnsi" w:eastAsiaTheme="majorEastAsia" w:hAnsiTheme="majorHAnsi" w:cstheme="majorBidi"/>
      <w:b/>
      <w:bCs/>
      <w:color w:val="365F91" w:themeColor="accent1" w:themeShade="BF"/>
      <w:sz w:val="28"/>
      <w:szCs w:val="28"/>
      <w:lang w:eastAsia="es-ES"/>
    </w:rPr>
  </w:style>
  <w:style w:type="character" w:customStyle="1" w:styleId="Ttulo2Car">
    <w:name w:val="Título 2 Car"/>
    <w:basedOn w:val="Fuentedeprrafopredeter"/>
    <w:link w:val="Ttulo2"/>
    <w:uiPriority w:val="9"/>
    <w:rsid w:val="00EC4953"/>
    <w:rPr>
      <w:rFonts w:asciiTheme="majorHAnsi" w:eastAsiaTheme="majorEastAsia" w:hAnsiTheme="majorHAnsi" w:cstheme="majorBidi"/>
      <w:b/>
      <w:bCs/>
      <w:color w:val="4F81BD" w:themeColor="accent1"/>
      <w:sz w:val="26"/>
      <w:szCs w:val="26"/>
      <w:lang w:eastAsia="es-ES"/>
    </w:rPr>
  </w:style>
  <w:style w:type="paragraph" w:styleId="Lista">
    <w:name w:val="List"/>
    <w:basedOn w:val="Normal"/>
    <w:uiPriority w:val="99"/>
    <w:unhideWhenUsed/>
    <w:rsid w:val="00EC4953"/>
    <w:pPr>
      <w:ind w:left="283" w:hanging="283"/>
      <w:contextualSpacing/>
    </w:pPr>
  </w:style>
  <w:style w:type="paragraph" w:styleId="Lista2">
    <w:name w:val="List 2"/>
    <w:basedOn w:val="Normal"/>
    <w:uiPriority w:val="99"/>
    <w:unhideWhenUsed/>
    <w:rsid w:val="00EC4953"/>
    <w:pPr>
      <w:ind w:left="566" w:hanging="283"/>
      <w:contextualSpacing/>
    </w:pPr>
  </w:style>
  <w:style w:type="paragraph" w:styleId="Textoindependienteprimerasangra">
    <w:name w:val="Body Text First Indent"/>
    <w:basedOn w:val="Textoindependiente"/>
    <w:link w:val="TextoindependienteprimerasangraCar"/>
    <w:uiPriority w:val="99"/>
    <w:unhideWhenUsed/>
    <w:rsid w:val="00EC4953"/>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EC4953"/>
  </w:style>
  <w:style w:type="paragraph" w:styleId="Textoindependienteprimerasangra2">
    <w:name w:val="Body Text First Indent 2"/>
    <w:basedOn w:val="Sangradetextonormal"/>
    <w:link w:val="Textoindependienteprimerasangra2Car"/>
    <w:uiPriority w:val="99"/>
    <w:unhideWhenUsed/>
    <w:rsid w:val="00EC4953"/>
    <w:pPr>
      <w:spacing w:after="0"/>
      <w:ind w:left="360" w:firstLine="360"/>
    </w:pPr>
    <w:rPr>
      <w:rFonts w:eastAsia="Calibri"/>
    </w:rPr>
  </w:style>
  <w:style w:type="character" w:customStyle="1" w:styleId="Textoindependienteprimerasangra2Car">
    <w:name w:val="Texto independiente primera sangría 2 Car"/>
    <w:basedOn w:val="SangradetextonormalCar"/>
    <w:link w:val="Textoindependienteprimerasangra2"/>
    <w:uiPriority w:val="99"/>
    <w:rsid w:val="00EC4953"/>
    <w:rPr>
      <w:rFonts w:eastAsia="Calibri"/>
    </w:rPr>
  </w:style>
  <w:style w:type="paragraph" w:styleId="Encabezado">
    <w:name w:val="header"/>
    <w:aliases w:val="maria,h"/>
    <w:basedOn w:val="Normal"/>
    <w:link w:val="EncabezadoCar"/>
    <w:uiPriority w:val="99"/>
    <w:semiHidden/>
    <w:unhideWhenUsed/>
    <w:rsid w:val="0053204C"/>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53204C"/>
    <w:rPr>
      <w:rFonts w:ascii="Times New Roman" w:eastAsia="Calibri"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206775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10</Pages>
  <Words>3945</Words>
  <Characters>21703</Characters>
  <Application>Microsoft Office Word</Application>
  <DocSecurity>0</DocSecurity>
  <Lines>180</Lines>
  <Paragraphs>51</Paragraphs>
  <ScaleCrop>false</ScaleCrop>
  <Company/>
  <LinksUpToDate>false</LinksUpToDate>
  <CharactersWithSpaces>25597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102</cp:revision>
  <cp:lastPrinted>2011-02-24T13:48:00Z</cp:lastPrinted>
  <dcterms:created xsi:type="dcterms:W3CDTF">2010-04-16T12:41:00Z</dcterms:created>
  <dcterms:modified xsi:type="dcterms:W3CDTF">2011-03-07T16:46:00Z</dcterms:modified>
</cp:coreProperties>
</file>